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BD5" w:rsidRDefault="0049754C" w:rsidP="00A95D32">
      <w:pPr>
        <w:jc w:val="center"/>
        <w:rPr>
          <w:rFonts w:ascii="游ゴシック" w:eastAsia="游ゴシック" w:hAnsi="游ゴシック"/>
          <w:sz w:val="28"/>
        </w:rPr>
      </w:pPr>
      <w:r w:rsidRPr="00A95D32">
        <w:rPr>
          <w:rFonts w:ascii="游ゴシック" w:eastAsia="游ゴシック" w:hAnsi="游ゴシック" w:hint="eastAsia"/>
          <w:sz w:val="28"/>
        </w:rPr>
        <w:t>住宅用地申告書の提出について（お願い）</w:t>
      </w:r>
    </w:p>
    <w:p w:rsidR="008A439E" w:rsidRDefault="008A439E" w:rsidP="008A439E">
      <w:pPr>
        <w:rPr>
          <w:rFonts w:ascii="游ゴシック" w:eastAsia="游ゴシック" w:hAnsi="游ゴシック"/>
        </w:rPr>
      </w:pPr>
    </w:p>
    <w:p w:rsidR="008A439E" w:rsidRDefault="008A439E" w:rsidP="008A439E">
      <w:pPr>
        <w:jc w:val="right"/>
        <w:rPr>
          <w:rFonts w:ascii="游ゴシック" w:eastAsia="游ゴシック" w:hAnsi="游ゴシック"/>
        </w:rPr>
      </w:pPr>
      <w:r>
        <w:rPr>
          <w:rFonts w:ascii="游ゴシック" w:eastAsia="游ゴシック" w:hAnsi="游ゴシック" w:hint="eastAsia"/>
        </w:rPr>
        <w:t>福山市企画財政局税務部資産税課</w:t>
      </w:r>
    </w:p>
    <w:p w:rsidR="008A439E" w:rsidRDefault="008A439E" w:rsidP="008A439E">
      <w:pPr>
        <w:rPr>
          <w:rFonts w:ascii="游ゴシック" w:eastAsia="游ゴシック" w:hAnsi="游ゴシック"/>
        </w:rPr>
      </w:pPr>
    </w:p>
    <w:p w:rsidR="007671A5" w:rsidRPr="007671A5" w:rsidRDefault="007671A5" w:rsidP="00CB2513">
      <w:pPr>
        <w:ind w:firstLineChars="100" w:firstLine="210"/>
        <w:rPr>
          <w:rFonts w:ascii="游ゴシック" w:eastAsia="游ゴシック" w:hAnsi="游ゴシック"/>
        </w:rPr>
      </w:pPr>
      <w:r w:rsidRPr="007671A5">
        <w:rPr>
          <w:rFonts w:ascii="游ゴシック" w:eastAsia="游ゴシック" w:hAnsi="游ゴシック" w:hint="eastAsia"/>
        </w:rPr>
        <w:t>住宅用地については</w:t>
      </w:r>
      <w:r w:rsidR="00A95D32">
        <w:rPr>
          <w:rFonts w:ascii="游ゴシック" w:eastAsia="游ゴシック" w:hAnsi="游ゴシック" w:hint="eastAsia"/>
        </w:rPr>
        <w:t>、</w:t>
      </w:r>
      <w:r w:rsidRPr="007671A5">
        <w:rPr>
          <w:rFonts w:ascii="游ゴシック" w:eastAsia="游ゴシック" w:hAnsi="游ゴシック" w:hint="eastAsia"/>
        </w:rPr>
        <w:t>その税負担を特に軽減する必要があることから</w:t>
      </w:r>
      <w:r w:rsidR="00A95D32">
        <w:rPr>
          <w:rFonts w:ascii="游ゴシック" w:eastAsia="游ゴシック" w:hAnsi="游ゴシック" w:hint="eastAsia"/>
        </w:rPr>
        <w:t>、</w:t>
      </w:r>
      <w:r w:rsidRPr="007671A5">
        <w:rPr>
          <w:rFonts w:ascii="游ゴシック" w:eastAsia="游ゴシック" w:hAnsi="游ゴシック" w:hint="eastAsia"/>
        </w:rPr>
        <w:t>固定資産税及び都市計画税について課税標準の特例措置が設けられています。</w:t>
      </w:r>
    </w:p>
    <w:p w:rsidR="0049754C" w:rsidRDefault="007671A5" w:rsidP="007671A5">
      <w:pPr>
        <w:ind w:firstLineChars="100" w:firstLine="210"/>
        <w:rPr>
          <w:rFonts w:ascii="游ゴシック" w:eastAsia="游ゴシック" w:hAnsi="游ゴシック"/>
        </w:rPr>
      </w:pPr>
      <w:r w:rsidRPr="007671A5">
        <w:rPr>
          <w:rFonts w:ascii="游ゴシック" w:eastAsia="游ゴシック" w:hAnsi="游ゴシック" w:hint="eastAsia"/>
        </w:rPr>
        <w:t>新たにこの特例措置の適用の対象となる場合や</w:t>
      </w:r>
      <w:r w:rsidR="00A95D32">
        <w:rPr>
          <w:rFonts w:ascii="游ゴシック" w:eastAsia="游ゴシック" w:hAnsi="游ゴシック" w:hint="eastAsia"/>
        </w:rPr>
        <w:t>、</w:t>
      </w:r>
      <w:r w:rsidRPr="007671A5">
        <w:rPr>
          <w:rFonts w:ascii="游ゴシック" w:eastAsia="游ゴシック" w:hAnsi="游ゴシック" w:hint="eastAsia"/>
        </w:rPr>
        <w:t>現に適用されている内容に変更が生じた場合等には</w:t>
      </w:r>
      <w:r w:rsidR="00A95D32">
        <w:rPr>
          <w:rFonts w:ascii="游ゴシック" w:eastAsia="游ゴシック" w:hAnsi="游ゴシック" w:hint="eastAsia"/>
        </w:rPr>
        <w:t>、</w:t>
      </w:r>
      <w:r w:rsidRPr="007671A5">
        <w:rPr>
          <w:rFonts w:ascii="游ゴシック" w:eastAsia="游ゴシック" w:hAnsi="游ゴシック" w:hint="eastAsia"/>
        </w:rPr>
        <w:t>福山市税条例第６５条の規定により申告していただく必要があります。税額を決定するうえで大変重要な情報となりますので</w:t>
      </w:r>
      <w:r w:rsidR="00A95D32">
        <w:rPr>
          <w:rFonts w:ascii="游ゴシック" w:eastAsia="游ゴシック" w:hAnsi="游ゴシック" w:hint="eastAsia"/>
        </w:rPr>
        <w:t>、</w:t>
      </w:r>
      <w:r w:rsidRPr="007671A5">
        <w:rPr>
          <w:rFonts w:ascii="游ゴシック" w:eastAsia="游ゴシック" w:hAnsi="游ゴシック" w:hint="eastAsia"/>
        </w:rPr>
        <w:t>該当される方は</w:t>
      </w:r>
      <w:r w:rsidR="00A95D32">
        <w:rPr>
          <w:rFonts w:ascii="游ゴシック" w:eastAsia="游ゴシック" w:hAnsi="游ゴシック" w:hint="eastAsia"/>
        </w:rPr>
        <w:t>、</w:t>
      </w:r>
      <w:r w:rsidRPr="007671A5">
        <w:rPr>
          <w:rFonts w:ascii="游ゴシック" w:eastAsia="游ゴシック" w:hAnsi="游ゴシック" w:hint="eastAsia"/>
        </w:rPr>
        <w:t>住宅用地申告書に必要事項を</w:t>
      </w:r>
      <w:r w:rsidR="001E6046">
        <w:rPr>
          <w:rFonts w:ascii="游ゴシック" w:eastAsia="游ゴシック" w:hAnsi="游ゴシック" w:hint="eastAsia"/>
        </w:rPr>
        <w:t>記入</w:t>
      </w:r>
      <w:r w:rsidRPr="007671A5">
        <w:rPr>
          <w:rFonts w:ascii="游ゴシック" w:eastAsia="游ゴシック" w:hAnsi="游ゴシック" w:hint="eastAsia"/>
        </w:rPr>
        <w:t>のうえ</w:t>
      </w:r>
      <w:r w:rsidR="00A95D32">
        <w:rPr>
          <w:rFonts w:ascii="游ゴシック" w:eastAsia="游ゴシック" w:hAnsi="游ゴシック" w:hint="eastAsia"/>
        </w:rPr>
        <w:t>、</w:t>
      </w:r>
      <w:r w:rsidRPr="007671A5">
        <w:rPr>
          <w:rFonts w:ascii="游ゴシック" w:eastAsia="游ゴシック" w:hAnsi="游ゴシック" w:hint="eastAsia"/>
        </w:rPr>
        <w:t>資産税課へ必ず提出してください。</w:t>
      </w:r>
    </w:p>
    <w:p w:rsidR="007671A5" w:rsidRDefault="007671A5" w:rsidP="007671A5">
      <w:pPr>
        <w:rPr>
          <w:rFonts w:ascii="游ゴシック" w:eastAsia="游ゴシック" w:hAnsi="游ゴシック"/>
        </w:rPr>
      </w:pPr>
    </w:p>
    <w:p w:rsidR="007671A5" w:rsidRPr="001D3EA7" w:rsidRDefault="007671A5" w:rsidP="007671A5">
      <w:pPr>
        <w:rPr>
          <w:rFonts w:ascii="游ゴシック" w:eastAsia="游ゴシック" w:hAnsi="游ゴシック"/>
          <w:b/>
        </w:rPr>
      </w:pPr>
      <w:r w:rsidRPr="001D3EA7">
        <w:rPr>
          <w:rFonts w:ascii="游ゴシック" w:eastAsia="游ゴシック" w:hAnsi="游ゴシック" w:hint="eastAsia"/>
          <w:b/>
        </w:rPr>
        <w:t>１　申告書の提出が必要となる場合</w:t>
      </w:r>
    </w:p>
    <w:p w:rsidR="007671A5" w:rsidRDefault="007671A5" w:rsidP="007671A5">
      <w:pPr>
        <w:ind w:leftChars="100" w:left="210"/>
        <w:rPr>
          <w:rFonts w:ascii="游ゴシック" w:eastAsia="游ゴシック" w:hAnsi="游ゴシック"/>
        </w:rPr>
      </w:pPr>
      <w:r>
        <w:rPr>
          <w:rFonts w:ascii="游ゴシック" w:eastAsia="游ゴシック" w:hAnsi="游ゴシック" w:hint="eastAsia"/>
        </w:rPr>
        <w:t xml:space="preserve">　</w:t>
      </w:r>
      <w:r w:rsidRPr="007671A5">
        <w:rPr>
          <w:rFonts w:ascii="游ゴシック" w:eastAsia="游ゴシック" w:hAnsi="游ゴシック" w:hint="eastAsia"/>
        </w:rPr>
        <w:t>当該住宅用地に所在する家屋の床面積</w:t>
      </w:r>
      <w:r w:rsidR="00A95D32">
        <w:rPr>
          <w:rFonts w:ascii="游ゴシック" w:eastAsia="游ゴシック" w:hAnsi="游ゴシック" w:hint="eastAsia"/>
        </w:rPr>
        <w:t>、</w:t>
      </w:r>
      <w:r w:rsidRPr="007671A5">
        <w:rPr>
          <w:rFonts w:ascii="游ゴシック" w:eastAsia="游ゴシック" w:hAnsi="游ゴシック" w:hint="eastAsia"/>
        </w:rPr>
        <w:t>居住部分の割合又は住居の数に変更が生じた場合や</w:t>
      </w:r>
      <w:r w:rsidR="00A95D32">
        <w:rPr>
          <w:rFonts w:ascii="游ゴシック" w:eastAsia="游ゴシック" w:hAnsi="游ゴシック" w:hint="eastAsia"/>
        </w:rPr>
        <w:t>、</w:t>
      </w:r>
      <w:r w:rsidRPr="007671A5">
        <w:rPr>
          <w:rFonts w:ascii="游ゴシック" w:eastAsia="游ゴシック" w:hAnsi="游ゴシック" w:hint="eastAsia"/>
        </w:rPr>
        <w:t>当該住宅用地の面積に変更が生じた場合に申告書の提出が必要となります。（住居の数</w:t>
      </w:r>
      <w:r w:rsidR="00803A34">
        <w:rPr>
          <w:rFonts w:ascii="游ゴシック" w:eastAsia="游ゴシック" w:hAnsi="游ゴシック" w:hint="eastAsia"/>
        </w:rPr>
        <w:t>に変動がある</w:t>
      </w:r>
      <w:r w:rsidRPr="007671A5">
        <w:rPr>
          <w:rFonts w:ascii="游ゴシック" w:eastAsia="游ゴシック" w:hAnsi="游ゴシック" w:hint="eastAsia"/>
        </w:rPr>
        <w:t>など</w:t>
      </w:r>
      <w:r w:rsidR="00A95D32">
        <w:rPr>
          <w:rFonts w:ascii="游ゴシック" w:eastAsia="游ゴシック" w:hAnsi="游ゴシック" w:hint="eastAsia"/>
        </w:rPr>
        <w:t>、</w:t>
      </w:r>
      <w:r w:rsidRPr="007671A5">
        <w:rPr>
          <w:rFonts w:ascii="游ゴシック" w:eastAsia="游ゴシック" w:hAnsi="游ゴシック" w:hint="eastAsia"/>
        </w:rPr>
        <w:t>住宅用地から非住宅用地</w:t>
      </w:r>
      <w:r w:rsidR="00566898">
        <w:rPr>
          <w:rFonts w:ascii="游ゴシック" w:eastAsia="游ゴシック" w:hAnsi="游ゴシック" w:hint="eastAsia"/>
        </w:rPr>
        <w:t>に変更となる場合にも申告書の提出が必要です。）具体的には</w:t>
      </w:r>
      <w:r w:rsidR="00A95D32">
        <w:rPr>
          <w:rFonts w:ascii="游ゴシック" w:eastAsia="游ゴシック" w:hAnsi="游ゴシック" w:hint="eastAsia"/>
        </w:rPr>
        <w:t>、</w:t>
      </w:r>
      <w:r w:rsidR="00566898">
        <w:rPr>
          <w:rFonts w:ascii="游ゴシック" w:eastAsia="游ゴシック" w:hAnsi="游ゴシック" w:hint="eastAsia"/>
        </w:rPr>
        <w:t>次の(1)から</w:t>
      </w:r>
      <w:r w:rsidR="00C50A2B">
        <w:rPr>
          <w:rFonts w:ascii="游ゴシック" w:eastAsia="游ゴシック" w:hAnsi="游ゴシック" w:hint="eastAsia"/>
        </w:rPr>
        <w:t>(6</w:t>
      </w:r>
      <w:r w:rsidR="00566898">
        <w:rPr>
          <w:rFonts w:ascii="游ゴシック" w:eastAsia="游ゴシック" w:hAnsi="游ゴシック" w:hint="eastAsia"/>
        </w:rPr>
        <w:t>)</w:t>
      </w:r>
      <w:r w:rsidRPr="007671A5">
        <w:rPr>
          <w:rFonts w:ascii="游ゴシック" w:eastAsia="游ゴシック" w:hAnsi="游ゴシック" w:hint="eastAsia"/>
        </w:rPr>
        <w:t>に示すとおりです。</w:t>
      </w:r>
    </w:p>
    <w:p w:rsidR="00566898" w:rsidRDefault="00566898" w:rsidP="007671A5">
      <w:pPr>
        <w:ind w:leftChars="100" w:left="210"/>
        <w:rPr>
          <w:rFonts w:ascii="游ゴシック" w:eastAsia="游ゴシック" w:hAnsi="游ゴシック"/>
        </w:rPr>
      </w:pPr>
      <w:r>
        <w:rPr>
          <w:rFonts w:ascii="游ゴシック" w:eastAsia="游ゴシック" w:hAnsi="游ゴシック" w:hint="eastAsia"/>
        </w:rPr>
        <w:t>(1)　家屋の新築</w:t>
      </w:r>
    </w:p>
    <w:p w:rsidR="00566898" w:rsidRDefault="00566898" w:rsidP="007671A5">
      <w:pPr>
        <w:ind w:leftChars="100" w:left="210"/>
        <w:rPr>
          <w:rFonts w:ascii="游ゴシック" w:eastAsia="游ゴシック" w:hAnsi="游ゴシック"/>
        </w:rPr>
      </w:pPr>
      <w:r>
        <w:rPr>
          <w:rFonts w:ascii="游ゴシック" w:eastAsia="游ゴシック" w:hAnsi="游ゴシック" w:hint="eastAsia"/>
        </w:rPr>
        <w:t>(2)　家屋の増築又は一部滅失</w:t>
      </w:r>
    </w:p>
    <w:p w:rsidR="00566898" w:rsidRDefault="00566898" w:rsidP="007671A5">
      <w:pPr>
        <w:ind w:leftChars="100" w:left="210"/>
        <w:rPr>
          <w:rFonts w:ascii="游ゴシック" w:eastAsia="游ゴシック" w:hAnsi="游ゴシック"/>
        </w:rPr>
      </w:pPr>
      <w:r>
        <w:rPr>
          <w:rFonts w:ascii="游ゴシック" w:eastAsia="游ゴシック" w:hAnsi="游ゴシック" w:hint="eastAsia"/>
        </w:rPr>
        <w:t>(3)　家屋の用途変更（例：事務所を居宅に、居宅を店舗に変更するなど）</w:t>
      </w:r>
    </w:p>
    <w:p w:rsidR="00566898" w:rsidRDefault="00566898" w:rsidP="007671A5">
      <w:pPr>
        <w:ind w:leftChars="100" w:left="210"/>
        <w:rPr>
          <w:rFonts w:ascii="游ゴシック" w:eastAsia="游ゴシック" w:hAnsi="游ゴシック"/>
        </w:rPr>
      </w:pPr>
      <w:r>
        <w:rPr>
          <w:rFonts w:ascii="游ゴシック" w:eastAsia="游ゴシック" w:hAnsi="游ゴシック" w:hint="eastAsia"/>
        </w:rPr>
        <w:t>(4)　家屋の滅失</w:t>
      </w:r>
    </w:p>
    <w:p w:rsidR="00566898" w:rsidRDefault="00566898" w:rsidP="007671A5">
      <w:pPr>
        <w:ind w:leftChars="100" w:left="210"/>
        <w:rPr>
          <w:rFonts w:ascii="游ゴシック" w:eastAsia="游ゴシック" w:hAnsi="游ゴシック"/>
        </w:rPr>
      </w:pPr>
      <w:r>
        <w:rPr>
          <w:rFonts w:ascii="游ゴシック" w:eastAsia="游ゴシック" w:hAnsi="游ゴシック" w:hint="eastAsia"/>
        </w:rPr>
        <w:t xml:space="preserve">(5)　</w:t>
      </w:r>
      <w:r w:rsidR="00E66C1D">
        <w:rPr>
          <w:rFonts w:ascii="游ゴシック" w:eastAsia="游ゴシック" w:hAnsi="游ゴシック" w:hint="eastAsia"/>
        </w:rPr>
        <w:t>住宅用地</w:t>
      </w:r>
      <w:r>
        <w:rPr>
          <w:rFonts w:ascii="游ゴシック" w:eastAsia="游ゴシック" w:hAnsi="游ゴシック" w:hint="eastAsia"/>
        </w:rPr>
        <w:t>の利用変更</w:t>
      </w:r>
      <w:r w:rsidR="00C50A2B">
        <w:rPr>
          <w:rFonts w:ascii="游ゴシック" w:eastAsia="游ゴシック" w:hAnsi="游ゴシック" w:hint="eastAsia"/>
        </w:rPr>
        <w:t>（例：隣接する空地を住宅敷地として一体利用するなど）</w:t>
      </w:r>
    </w:p>
    <w:p w:rsidR="00FB6D0A" w:rsidRDefault="00FB6D0A" w:rsidP="007671A5">
      <w:pPr>
        <w:ind w:leftChars="100" w:left="210"/>
        <w:rPr>
          <w:rFonts w:ascii="游ゴシック" w:eastAsia="游ゴシック" w:hAnsi="游ゴシック"/>
        </w:rPr>
      </w:pPr>
      <w:r>
        <w:rPr>
          <w:rFonts w:ascii="游ゴシック" w:eastAsia="游ゴシック" w:hAnsi="游ゴシック" w:hint="eastAsia"/>
        </w:rPr>
        <w:t>(6)　住宅の建替え</w:t>
      </w:r>
    </w:p>
    <w:p w:rsidR="00FB6D0A" w:rsidRDefault="00FB6D0A" w:rsidP="00FB6D0A">
      <w:pPr>
        <w:rPr>
          <w:rFonts w:ascii="游ゴシック" w:eastAsia="游ゴシック" w:hAnsi="游ゴシック"/>
        </w:rPr>
      </w:pPr>
    </w:p>
    <w:p w:rsidR="00B332B1" w:rsidRPr="001D3EA7" w:rsidRDefault="00B332B1" w:rsidP="007C3545">
      <w:pPr>
        <w:rPr>
          <w:rFonts w:ascii="游ゴシック" w:eastAsia="游ゴシック" w:hAnsi="游ゴシック"/>
          <w:b/>
        </w:rPr>
      </w:pPr>
      <w:r w:rsidRPr="001D3EA7">
        <w:rPr>
          <w:rFonts w:ascii="游ゴシック" w:eastAsia="游ゴシック" w:hAnsi="游ゴシック" w:hint="eastAsia"/>
          <w:b/>
        </w:rPr>
        <w:t>２　住宅用地の範囲</w:t>
      </w:r>
    </w:p>
    <w:p w:rsidR="00B332B1" w:rsidRPr="00B332B1" w:rsidRDefault="00B332B1" w:rsidP="00B332B1">
      <w:pPr>
        <w:ind w:leftChars="100" w:left="210" w:firstLineChars="100" w:firstLine="210"/>
        <w:rPr>
          <w:rFonts w:ascii="游ゴシック" w:eastAsia="游ゴシック" w:hAnsi="游ゴシック"/>
        </w:rPr>
      </w:pPr>
      <w:r w:rsidRPr="00B332B1">
        <w:rPr>
          <w:rFonts w:ascii="游ゴシック" w:eastAsia="游ゴシック" w:hAnsi="游ゴシック" w:hint="eastAsia"/>
        </w:rPr>
        <w:t>特例措置の対象となる住宅用地の面積は</w:t>
      </w:r>
      <w:r w:rsidR="00A95D32">
        <w:rPr>
          <w:rFonts w:ascii="游ゴシック" w:eastAsia="游ゴシック" w:hAnsi="游ゴシック" w:hint="eastAsia"/>
        </w:rPr>
        <w:t>、</w:t>
      </w:r>
      <w:r w:rsidRPr="00B332B1">
        <w:rPr>
          <w:rFonts w:ascii="游ゴシック" w:eastAsia="游ゴシック" w:hAnsi="游ゴシック" w:hint="eastAsia"/>
        </w:rPr>
        <w:t>家屋の区分ごとに居住部分の割合に応じて定められた住宅用地の率を当該住宅の敷地面積に乗じて求めます。</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
        <w:gridCol w:w="2410"/>
        <w:gridCol w:w="2410"/>
        <w:gridCol w:w="1559"/>
      </w:tblGrid>
      <w:tr w:rsidR="00B332B1" w:rsidRPr="00B332B1" w:rsidTr="0043457E">
        <w:tc>
          <w:tcPr>
            <w:tcW w:w="872" w:type="dxa"/>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区分</w:t>
            </w:r>
          </w:p>
        </w:tc>
        <w:tc>
          <w:tcPr>
            <w:tcW w:w="2410" w:type="dxa"/>
            <w:vAlign w:val="center"/>
          </w:tcPr>
          <w:p w:rsidR="00B332B1" w:rsidRPr="00B332B1" w:rsidRDefault="0043457E" w:rsidP="0043457E">
            <w:pPr>
              <w:jc w:val="center"/>
              <w:rPr>
                <w:rFonts w:ascii="游ゴシック" w:eastAsia="游ゴシック" w:hAnsi="游ゴシック"/>
              </w:rPr>
            </w:pPr>
            <w:r>
              <w:rPr>
                <w:rFonts w:ascii="游ゴシック" w:eastAsia="游ゴシック" w:hAnsi="游ゴシック" w:hint="eastAsia"/>
              </w:rPr>
              <w:t>家</w:t>
            </w:r>
            <w:r w:rsidR="00B332B1" w:rsidRPr="00B332B1">
              <w:rPr>
                <w:rFonts w:ascii="游ゴシック" w:eastAsia="游ゴシック" w:hAnsi="游ゴシック" w:hint="eastAsia"/>
              </w:rPr>
              <w:t>屋</w:t>
            </w:r>
          </w:p>
        </w:tc>
        <w:tc>
          <w:tcPr>
            <w:tcW w:w="2410" w:type="dxa"/>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居住部分の割合</w:t>
            </w:r>
          </w:p>
        </w:tc>
        <w:tc>
          <w:tcPr>
            <w:tcW w:w="1559" w:type="dxa"/>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住宅用地の率</w:t>
            </w:r>
          </w:p>
        </w:tc>
      </w:tr>
      <w:tr w:rsidR="00B332B1" w:rsidRPr="00B332B1" w:rsidTr="0043457E">
        <w:tc>
          <w:tcPr>
            <w:tcW w:w="872" w:type="dxa"/>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ア</w:t>
            </w: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専用住宅</w:t>
            </w: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全　部</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１．０</w:t>
            </w:r>
          </w:p>
        </w:tc>
      </w:tr>
      <w:tr w:rsidR="00B332B1" w:rsidRPr="00B332B1" w:rsidTr="0043457E">
        <w:trPr>
          <w:cantSplit/>
        </w:trPr>
        <w:tc>
          <w:tcPr>
            <w:tcW w:w="872" w:type="dxa"/>
            <w:vMerge w:val="restart"/>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イ</w:t>
            </w:r>
          </w:p>
        </w:tc>
        <w:tc>
          <w:tcPr>
            <w:tcW w:w="2410" w:type="dxa"/>
            <w:vMerge w:val="restart"/>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ウ以外の併用住宅</w:t>
            </w: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１／４以上１／２未満</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０．５</w:t>
            </w:r>
          </w:p>
        </w:tc>
      </w:tr>
      <w:tr w:rsidR="00B332B1" w:rsidRPr="00B332B1" w:rsidTr="0043457E">
        <w:trPr>
          <w:cantSplit/>
        </w:trPr>
        <w:tc>
          <w:tcPr>
            <w:tcW w:w="872" w:type="dxa"/>
            <w:vMerge/>
            <w:vAlign w:val="center"/>
          </w:tcPr>
          <w:p w:rsidR="00B332B1" w:rsidRPr="00B332B1" w:rsidRDefault="00B332B1" w:rsidP="0043457E">
            <w:pPr>
              <w:jc w:val="center"/>
              <w:rPr>
                <w:rFonts w:ascii="游ゴシック" w:eastAsia="游ゴシック" w:hAnsi="游ゴシック"/>
              </w:rPr>
            </w:pPr>
          </w:p>
        </w:tc>
        <w:tc>
          <w:tcPr>
            <w:tcW w:w="2410" w:type="dxa"/>
            <w:vMerge/>
            <w:vAlign w:val="center"/>
          </w:tcPr>
          <w:p w:rsidR="00B332B1" w:rsidRPr="00B332B1" w:rsidRDefault="00B332B1" w:rsidP="00B332B1">
            <w:pPr>
              <w:rPr>
                <w:rFonts w:ascii="游ゴシック" w:eastAsia="游ゴシック" w:hAnsi="游ゴシック"/>
              </w:rPr>
            </w:pP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１／２以上</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１．０</w:t>
            </w:r>
          </w:p>
        </w:tc>
      </w:tr>
      <w:tr w:rsidR="00B332B1" w:rsidRPr="00B332B1" w:rsidTr="0043457E">
        <w:trPr>
          <w:cantSplit/>
        </w:trPr>
        <w:tc>
          <w:tcPr>
            <w:tcW w:w="872" w:type="dxa"/>
            <w:vMerge w:val="restart"/>
            <w:vAlign w:val="center"/>
          </w:tcPr>
          <w:p w:rsidR="00B332B1" w:rsidRPr="00B332B1" w:rsidRDefault="00B332B1" w:rsidP="0043457E">
            <w:pPr>
              <w:jc w:val="center"/>
              <w:rPr>
                <w:rFonts w:ascii="游ゴシック" w:eastAsia="游ゴシック" w:hAnsi="游ゴシック"/>
              </w:rPr>
            </w:pPr>
            <w:r w:rsidRPr="00B332B1">
              <w:rPr>
                <w:rFonts w:ascii="游ゴシック" w:eastAsia="游ゴシック" w:hAnsi="游ゴシック" w:hint="eastAsia"/>
              </w:rPr>
              <w:t>ウ</w:t>
            </w:r>
          </w:p>
        </w:tc>
        <w:tc>
          <w:tcPr>
            <w:tcW w:w="2410" w:type="dxa"/>
            <w:vMerge w:val="restart"/>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地上５階以上の耐火</w:t>
            </w:r>
          </w:p>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建築物である併用住宅</w:t>
            </w: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１／４以上１／２未満</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０．５</w:t>
            </w:r>
          </w:p>
        </w:tc>
      </w:tr>
      <w:tr w:rsidR="00B332B1" w:rsidRPr="00B332B1" w:rsidTr="0043457E">
        <w:trPr>
          <w:cantSplit/>
        </w:trPr>
        <w:tc>
          <w:tcPr>
            <w:tcW w:w="872" w:type="dxa"/>
            <w:vMerge/>
            <w:vAlign w:val="center"/>
          </w:tcPr>
          <w:p w:rsidR="00B332B1" w:rsidRPr="00B332B1" w:rsidRDefault="00B332B1" w:rsidP="00B332B1">
            <w:pPr>
              <w:rPr>
                <w:rFonts w:ascii="游ゴシック" w:eastAsia="游ゴシック" w:hAnsi="游ゴシック"/>
              </w:rPr>
            </w:pPr>
          </w:p>
        </w:tc>
        <w:tc>
          <w:tcPr>
            <w:tcW w:w="2410" w:type="dxa"/>
            <w:vMerge/>
            <w:vAlign w:val="center"/>
          </w:tcPr>
          <w:p w:rsidR="00B332B1" w:rsidRPr="00B332B1" w:rsidRDefault="00B332B1" w:rsidP="00B332B1">
            <w:pPr>
              <w:rPr>
                <w:rFonts w:ascii="游ゴシック" w:eastAsia="游ゴシック" w:hAnsi="游ゴシック"/>
              </w:rPr>
            </w:pP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１／２以上３／４未満</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０．７５</w:t>
            </w:r>
          </w:p>
        </w:tc>
      </w:tr>
      <w:tr w:rsidR="00B332B1" w:rsidRPr="00B332B1" w:rsidTr="0043457E">
        <w:trPr>
          <w:cantSplit/>
        </w:trPr>
        <w:tc>
          <w:tcPr>
            <w:tcW w:w="872" w:type="dxa"/>
            <w:vMerge/>
            <w:vAlign w:val="center"/>
          </w:tcPr>
          <w:p w:rsidR="00B332B1" w:rsidRPr="00B332B1" w:rsidRDefault="00B332B1" w:rsidP="00B332B1">
            <w:pPr>
              <w:rPr>
                <w:rFonts w:ascii="游ゴシック" w:eastAsia="游ゴシック" w:hAnsi="游ゴシック"/>
              </w:rPr>
            </w:pPr>
          </w:p>
        </w:tc>
        <w:tc>
          <w:tcPr>
            <w:tcW w:w="2410" w:type="dxa"/>
            <w:vMerge/>
            <w:vAlign w:val="center"/>
          </w:tcPr>
          <w:p w:rsidR="00B332B1" w:rsidRPr="00B332B1" w:rsidRDefault="00B332B1" w:rsidP="00B332B1">
            <w:pPr>
              <w:rPr>
                <w:rFonts w:ascii="游ゴシック" w:eastAsia="游ゴシック" w:hAnsi="游ゴシック"/>
              </w:rPr>
            </w:pPr>
          </w:p>
        </w:tc>
        <w:tc>
          <w:tcPr>
            <w:tcW w:w="2410" w:type="dxa"/>
            <w:vAlign w:val="center"/>
          </w:tcPr>
          <w:p w:rsidR="00B332B1" w:rsidRPr="00B332B1" w:rsidRDefault="00B332B1" w:rsidP="00B332B1">
            <w:pPr>
              <w:rPr>
                <w:rFonts w:ascii="游ゴシック" w:eastAsia="游ゴシック" w:hAnsi="游ゴシック"/>
              </w:rPr>
            </w:pPr>
            <w:r w:rsidRPr="00B332B1">
              <w:rPr>
                <w:rFonts w:ascii="游ゴシック" w:eastAsia="游ゴシック" w:hAnsi="游ゴシック" w:hint="eastAsia"/>
              </w:rPr>
              <w:t>３／４以上</w:t>
            </w:r>
          </w:p>
        </w:tc>
        <w:tc>
          <w:tcPr>
            <w:tcW w:w="1559" w:type="dxa"/>
            <w:vAlign w:val="center"/>
          </w:tcPr>
          <w:p w:rsidR="00B332B1" w:rsidRPr="00B332B1" w:rsidRDefault="00B332B1" w:rsidP="005A2EAB">
            <w:pPr>
              <w:jc w:val="center"/>
              <w:rPr>
                <w:rFonts w:ascii="游ゴシック" w:eastAsia="游ゴシック" w:hAnsi="游ゴシック"/>
              </w:rPr>
            </w:pPr>
            <w:r w:rsidRPr="00B332B1">
              <w:rPr>
                <w:rFonts w:ascii="游ゴシック" w:eastAsia="游ゴシック" w:hAnsi="游ゴシック" w:hint="eastAsia"/>
              </w:rPr>
              <w:t>１．０</w:t>
            </w:r>
          </w:p>
        </w:tc>
      </w:tr>
    </w:tbl>
    <w:p w:rsidR="003B518F" w:rsidRDefault="003B518F" w:rsidP="007C3545">
      <w:pPr>
        <w:rPr>
          <w:rFonts w:ascii="游ゴシック" w:eastAsia="游ゴシック" w:hAnsi="游ゴシック"/>
          <w:b/>
        </w:rPr>
      </w:pPr>
    </w:p>
    <w:p w:rsidR="003B518F" w:rsidRDefault="003B518F">
      <w:pPr>
        <w:widowControl/>
        <w:jc w:val="left"/>
        <w:rPr>
          <w:rFonts w:ascii="游ゴシック" w:eastAsia="游ゴシック" w:hAnsi="游ゴシック"/>
          <w:b/>
        </w:rPr>
      </w:pPr>
      <w:r>
        <w:rPr>
          <w:rFonts w:ascii="游ゴシック" w:eastAsia="游ゴシック" w:hAnsi="游ゴシック"/>
          <w:b/>
        </w:rPr>
        <w:br w:type="page"/>
      </w:r>
    </w:p>
    <w:p w:rsidR="00B332B1" w:rsidRPr="001D3EA7" w:rsidRDefault="0043457E" w:rsidP="007C3545">
      <w:pPr>
        <w:rPr>
          <w:rFonts w:ascii="游ゴシック" w:eastAsia="游ゴシック" w:hAnsi="游ゴシック"/>
          <w:b/>
        </w:rPr>
      </w:pPr>
      <w:bookmarkStart w:id="0" w:name="_GoBack"/>
      <w:bookmarkEnd w:id="0"/>
      <w:r w:rsidRPr="001D3EA7">
        <w:rPr>
          <w:rFonts w:ascii="游ゴシック" w:eastAsia="游ゴシック" w:hAnsi="游ゴシック" w:hint="eastAsia"/>
          <w:b/>
        </w:rPr>
        <w:lastRenderedPageBreak/>
        <w:t>３　課税標準の特例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3"/>
        <w:gridCol w:w="4033"/>
        <w:gridCol w:w="3465"/>
      </w:tblGrid>
      <w:tr w:rsidR="0043457E" w:rsidRPr="0043457E" w:rsidTr="009A2B96">
        <w:trPr>
          <w:cantSplit/>
        </w:trPr>
        <w:tc>
          <w:tcPr>
            <w:tcW w:w="5236" w:type="dxa"/>
            <w:gridSpan w:val="2"/>
            <w:vAlign w:val="center"/>
          </w:tcPr>
          <w:p w:rsidR="0043457E" w:rsidRPr="0043457E" w:rsidRDefault="0043457E" w:rsidP="0043457E">
            <w:pPr>
              <w:jc w:val="center"/>
              <w:rPr>
                <w:rFonts w:ascii="游ゴシック" w:eastAsia="游ゴシック" w:hAnsi="游ゴシック"/>
              </w:rPr>
            </w:pPr>
            <w:r>
              <w:rPr>
                <w:rFonts w:ascii="游ゴシック" w:eastAsia="游ゴシック" w:hAnsi="游ゴシック" w:hint="eastAsia"/>
              </w:rPr>
              <w:t>区</w:t>
            </w:r>
            <w:r w:rsidRPr="0043457E">
              <w:rPr>
                <w:rFonts w:ascii="游ゴシック" w:eastAsia="游ゴシック" w:hAnsi="游ゴシック" w:hint="eastAsia"/>
              </w:rPr>
              <w:t>分</w:t>
            </w:r>
          </w:p>
        </w:tc>
        <w:tc>
          <w:tcPr>
            <w:tcW w:w="3494" w:type="dxa"/>
            <w:vAlign w:val="center"/>
          </w:tcPr>
          <w:p w:rsidR="0043457E" w:rsidRPr="0043457E" w:rsidRDefault="0043457E" w:rsidP="0043457E">
            <w:pPr>
              <w:jc w:val="center"/>
              <w:rPr>
                <w:rFonts w:ascii="游ゴシック" w:eastAsia="游ゴシック" w:hAnsi="游ゴシック"/>
              </w:rPr>
            </w:pPr>
            <w:r w:rsidRPr="0043457E">
              <w:rPr>
                <w:rFonts w:ascii="游ゴシック" w:eastAsia="游ゴシック" w:hAnsi="游ゴシック" w:hint="eastAsia"/>
              </w:rPr>
              <w:t>課税標準額</w:t>
            </w:r>
          </w:p>
        </w:tc>
      </w:tr>
      <w:tr w:rsidR="0043457E" w:rsidRPr="0043457E" w:rsidTr="009A2B96">
        <w:tc>
          <w:tcPr>
            <w:tcW w:w="1170" w:type="dxa"/>
            <w:vAlign w:val="center"/>
          </w:tcPr>
          <w:p w:rsidR="0043457E" w:rsidRPr="0043457E" w:rsidRDefault="0043457E" w:rsidP="0043457E">
            <w:pPr>
              <w:jc w:val="center"/>
              <w:rPr>
                <w:rFonts w:ascii="游ゴシック" w:eastAsia="游ゴシック" w:hAnsi="游ゴシック"/>
              </w:rPr>
            </w:pPr>
            <w:r w:rsidRPr="0043457E">
              <w:rPr>
                <w:rFonts w:ascii="游ゴシック" w:eastAsia="游ゴシック" w:hAnsi="游ゴシック" w:hint="eastAsia"/>
              </w:rPr>
              <w:t>小規模</w:t>
            </w:r>
          </w:p>
          <w:p w:rsidR="0043457E" w:rsidRPr="0043457E" w:rsidRDefault="0043457E" w:rsidP="0043457E">
            <w:pPr>
              <w:jc w:val="center"/>
              <w:rPr>
                <w:rFonts w:ascii="游ゴシック" w:eastAsia="游ゴシック" w:hAnsi="游ゴシック"/>
              </w:rPr>
            </w:pPr>
            <w:r w:rsidRPr="0043457E">
              <w:rPr>
                <w:rFonts w:ascii="游ゴシック" w:eastAsia="游ゴシック" w:hAnsi="游ゴシック" w:hint="eastAsia"/>
              </w:rPr>
              <w:t>住宅用地</w:t>
            </w:r>
          </w:p>
        </w:tc>
        <w:tc>
          <w:tcPr>
            <w:tcW w:w="4066" w:type="dxa"/>
            <w:vAlign w:val="center"/>
          </w:tcPr>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２００㎡以下の住宅用地（</w:t>
            </w:r>
            <w:r w:rsidR="005A2EAB">
              <w:rPr>
                <w:rFonts w:ascii="游ゴシック" w:eastAsia="游ゴシック" w:hAnsi="游ゴシック" w:hint="eastAsia"/>
              </w:rPr>
              <w:t>住居の数１</w:t>
            </w:r>
            <w:r w:rsidRPr="0043457E">
              <w:rPr>
                <w:rFonts w:ascii="游ゴシック" w:eastAsia="游ゴシック" w:hAnsi="游ゴシック" w:hint="eastAsia"/>
              </w:rPr>
              <w:t>当たり２００㎡までの部分）</w:t>
            </w:r>
          </w:p>
        </w:tc>
        <w:tc>
          <w:tcPr>
            <w:tcW w:w="3494" w:type="dxa"/>
            <w:vAlign w:val="center"/>
          </w:tcPr>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固定資産税 ⇒ 評価額×１／６</w:t>
            </w:r>
          </w:p>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都市計画税 ⇒ 評価額×１／３</w:t>
            </w:r>
          </w:p>
        </w:tc>
      </w:tr>
      <w:tr w:rsidR="0043457E" w:rsidRPr="0043457E" w:rsidTr="009A2B96">
        <w:tc>
          <w:tcPr>
            <w:tcW w:w="1170" w:type="dxa"/>
            <w:vAlign w:val="center"/>
          </w:tcPr>
          <w:p w:rsidR="0043457E" w:rsidRPr="0043457E" w:rsidRDefault="0043457E" w:rsidP="0043457E">
            <w:pPr>
              <w:jc w:val="center"/>
              <w:rPr>
                <w:rFonts w:ascii="游ゴシック" w:eastAsia="游ゴシック" w:hAnsi="游ゴシック"/>
              </w:rPr>
            </w:pPr>
            <w:r>
              <w:rPr>
                <w:rFonts w:ascii="游ゴシック" w:eastAsia="游ゴシック" w:hAnsi="游ゴシック" w:hint="eastAsia"/>
              </w:rPr>
              <w:t>一般</w:t>
            </w:r>
          </w:p>
          <w:p w:rsidR="0043457E" w:rsidRPr="0043457E" w:rsidRDefault="0043457E" w:rsidP="0043457E">
            <w:pPr>
              <w:jc w:val="center"/>
              <w:rPr>
                <w:rFonts w:ascii="游ゴシック" w:eastAsia="游ゴシック" w:hAnsi="游ゴシック"/>
              </w:rPr>
            </w:pPr>
            <w:r w:rsidRPr="0043457E">
              <w:rPr>
                <w:rFonts w:ascii="游ゴシック" w:eastAsia="游ゴシック" w:hAnsi="游ゴシック" w:hint="eastAsia"/>
              </w:rPr>
              <w:t>住宅用地</w:t>
            </w:r>
          </w:p>
        </w:tc>
        <w:tc>
          <w:tcPr>
            <w:tcW w:w="4066" w:type="dxa"/>
            <w:vAlign w:val="center"/>
          </w:tcPr>
          <w:p w:rsidR="0043457E" w:rsidRPr="0043457E" w:rsidRDefault="0043457E" w:rsidP="005A2EAB">
            <w:pPr>
              <w:rPr>
                <w:rFonts w:ascii="游ゴシック" w:eastAsia="游ゴシック" w:hAnsi="游ゴシック"/>
              </w:rPr>
            </w:pPr>
            <w:r w:rsidRPr="0043457E">
              <w:rPr>
                <w:rFonts w:ascii="游ゴシック" w:eastAsia="游ゴシック" w:hAnsi="游ゴシック" w:hint="eastAsia"/>
              </w:rPr>
              <w:t>小規模住宅用地以外の住宅用地（</w:t>
            </w:r>
            <w:r w:rsidR="005A2EAB">
              <w:rPr>
                <w:rFonts w:ascii="游ゴシック" w:eastAsia="游ゴシック" w:hAnsi="游ゴシック" w:hint="eastAsia"/>
              </w:rPr>
              <w:t>住居の数１</w:t>
            </w:r>
            <w:r w:rsidRPr="0043457E">
              <w:rPr>
                <w:rFonts w:ascii="游ゴシック" w:eastAsia="游ゴシック" w:hAnsi="游ゴシック" w:hint="eastAsia"/>
              </w:rPr>
              <w:t>当たり２００㎡を超える部分）</w:t>
            </w:r>
          </w:p>
        </w:tc>
        <w:tc>
          <w:tcPr>
            <w:tcW w:w="3494" w:type="dxa"/>
            <w:vAlign w:val="center"/>
          </w:tcPr>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固定資産税 ⇒ 評価額×１／３</w:t>
            </w:r>
          </w:p>
          <w:p w:rsidR="0043457E" w:rsidRPr="0043457E" w:rsidRDefault="0043457E" w:rsidP="0043457E">
            <w:pPr>
              <w:rPr>
                <w:rFonts w:ascii="游ゴシック" w:eastAsia="游ゴシック" w:hAnsi="游ゴシック"/>
              </w:rPr>
            </w:pPr>
            <w:r w:rsidRPr="0043457E">
              <w:rPr>
                <w:rFonts w:ascii="游ゴシック" w:eastAsia="游ゴシック" w:hAnsi="游ゴシック" w:hint="eastAsia"/>
              </w:rPr>
              <w:t>都市計画税 ⇒ 評価額×２／３</w:t>
            </w:r>
          </w:p>
        </w:tc>
      </w:tr>
    </w:tbl>
    <w:p w:rsidR="00F9671B" w:rsidRDefault="00F9671B">
      <w:pPr>
        <w:widowControl/>
        <w:jc w:val="left"/>
        <w:rPr>
          <w:rFonts w:ascii="游ゴシック" w:eastAsia="游ゴシック" w:hAnsi="游ゴシック"/>
        </w:rPr>
      </w:pPr>
    </w:p>
    <w:p w:rsidR="0043457E" w:rsidRPr="001D3EA7" w:rsidRDefault="00F9671B" w:rsidP="00F9671B">
      <w:pPr>
        <w:widowControl/>
        <w:jc w:val="left"/>
        <w:rPr>
          <w:rFonts w:ascii="游ゴシック" w:eastAsia="游ゴシック" w:hAnsi="游ゴシック"/>
          <w:b/>
        </w:rPr>
      </w:pPr>
      <w:r w:rsidRPr="001D3EA7">
        <w:rPr>
          <w:rFonts w:ascii="游ゴシック" w:eastAsia="游ゴシック" w:hAnsi="游ゴシック" w:hint="eastAsia"/>
          <w:b/>
        </w:rPr>
        <w:t>４　居住以外の用に供していた家屋を居住の用に供する家屋とする取扱い</w:t>
      </w:r>
    </w:p>
    <w:p w:rsidR="005E2C0F" w:rsidRDefault="005E2C0F" w:rsidP="00CB2513">
      <w:pPr>
        <w:widowControl/>
        <w:ind w:leftChars="100" w:left="210" w:firstLineChars="100" w:firstLine="210"/>
        <w:jc w:val="left"/>
        <w:rPr>
          <w:rFonts w:ascii="游ゴシック" w:eastAsia="游ゴシック" w:hAnsi="游ゴシック"/>
        </w:rPr>
      </w:pPr>
      <w:r>
        <w:rPr>
          <w:rFonts w:ascii="游ゴシック" w:eastAsia="游ゴシック" w:hAnsi="游ゴシック" w:hint="eastAsia"/>
        </w:rPr>
        <w:t>事業・営業を廃止・廃業し、当該家屋を居住用の倉庫や附属家として利用している</w:t>
      </w:r>
      <w:r w:rsidR="00F63FCB">
        <w:rPr>
          <w:rFonts w:ascii="游ゴシック" w:eastAsia="游ゴシック" w:hAnsi="游ゴシック" w:hint="eastAsia"/>
        </w:rPr>
        <w:t>ものについて、住宅用地申告書</w:t>
      </w:r>
      <w:r w:rsidR="00525860">
        <w:rPr>
          <w:rFonts w:ascii="游ゴシック" w:eastAsia="游ゴシック" w:hAnsi="游ゴシック" w:hint="eastAsia"/>
        </w:rPr>
        <w:t>と</w:t>
      </w:r>
      <w:r w:rsidR="00F63FCB">
        <w:rPr>
          <w:rFonts w:ascii="游ゴシック" w:eastAsia="游ゴシック" w:hAnsi="游ゴシック" w:hint="eastAsia"/>
        </w:rPr>
        <w:t>あわせて廃止・廃業届の</w:t>
      </w:r>
      <w:r w:rsidR="008B4380">
        <w:rPr>
          <w:rFonts w:ascii="游ゴシック" w:eastAsia="游ゴシック" w:hAnsi="游ゴシック" w:hint="eastAsia"/>
        </w:rPr>
        <w:t>添付</w:t>
      </w:r>
      <w:r w:rsidR="00525860">
        <w:rPr>
          <w:rFonts w:ascii="游ゴシック" w:eastAsia="游ゴシック" w:hAnsi="游ゴシック" w:hint="eastAsia"/>
        </w:rPr>
        <w:t>をお願いします。申告書提出後に現地調査を実施し、事業・営業に必要な施設・設備等（看板、</w:t>
      </w:r>
      <w:r w:rsidR="00377B7F">
        <w:rPr>
          <w:rFonts w:ascii="游ゴシック" w:eastAsia="游ゴシック" w:hAnsi="游ゴシック" w:hint="eastAsia"/>
        </w:rPr>
        <w:t>高圧受電設備（キュービクル）、商品陳列棚等</w:t>
      </w:r>
      <w:r w:rsidR="00525860">
        <w:rPr>
          <w:rFonts w:ascii="游ゴシック" w:eastAsia="游ゴシック" w:hAnsi="游ゴシック" w:hint="eastAsia"/>
        </w:rPr>
        <w:t>）</w:t>
      </w:r>
      <w:r w:rsidR="00377B7F">
        <w:rPr>
          <w:rFonts w:ascii="游ゴシック" w:eastAsia="游ゴシック" w:hAnsi="游ゴシック" w:hint="eastAsia"/>
        </w:rPr>
        <w:t>が除却され</w:t>
      </w:r>
      <w:r w:rsidR="002076DC">
        <w:rPr>
          <w:rFonts w:ascii="游ゴシック" w:eastAsia="游ゴシック" w:hAnsi="游ゴシック" w:hint="eastAsia"/>
        </w:rPr>
        <w:t>、利用状況や使用実態を</w:t>
      </w:r>
      <w:r w:rsidR="00C933DD">
        <w:rPr>
          <w:rFonts w:ascii="游ゴシック" w:eastAsia="游ゴシック" w:hAnsi="游ゴシック" w:hint="eastAsia"/>
        </w:rPr>
        <w:t>確認し</w:t>
      </w:r>
      <w:r w:rsidR="002076DC">
        <w:rPr>
          <w:rFonts w:ascii="游ゴシック" w:eastAsia="游ゴシック" w:hAnsi="游ゴシック" w:hint="eastAsia"/>
        </w:rPr>
        <w:t>、居住の用に供する家屋と判断します。</w:t>
      </w:r>
    </w:p>
    <w:p w:rsidR="00C933DD" w:rsidRDefault="00C933DD" w:rsidP="00C933DD">
      <w:pPr>
        <w:widowControl/>
        <w:jc w:val="left"/>
        <w:rPr>
          <w:rFonts w:ascii="游ゴシック" w:eastAsia="游ゴシック" w:hAnsi="游ゴシック"/>
        </w:rPr>
      </w:pPr>
    </w:p>
    <w:p w:rsidR="00C933DD" w:rsidRPr="001D3EA7" w:rsidRDefault="00C933DD" w:rsidP="00C933DD">
      <w:pPr>
        <w:widowControl/>
        <w:jc w:val="left"/>
        <w:rPr>
          <w:rFonts w:ascii="游ゴシック" w:eastAsia="游ゴシック" w:hAnsi="游ゴシック"/>
          <w:b/>
        </w:rPr>
      </w:pPr>
      <w:r w:rsidRPr="001D3EA7">
        <w:rPr>
          <w:rFonts w:ascii="游ゴシック" w:eastAsia="游ゴシック" w:hAnsi="游ゴシック" w:hint="eastAsia"/>
          <w:b/>
        </w:rPr>
        <w:t>５　住宅敷地の認定</w:t>
      </w:r>
    </w:p>
    <w:p w:rsidR="00C933DD" w:rsidRDefault="00F41CCA" w:rsidP="00CB2513">
      <w:pPr>
        <w:widowControl/>
        <w:ind w:leftChars="100" w:left="210" w:firstLineChars="100" w:firstLine="210"/>
        <w:jc w:val="left"/>
        <w:rPr>
          <w:rFonts w:ascii="游ゴシック" w:eastAsia="游ゴシック" w:hAnsi="游ゴシック"/>
        </w:rPr>
      </w:pPr>
      <w:r w:rsidRPr="00F41CCA">
        <w:rPr>
          <w:rFonts w:ascii="游ゴシック" w:eastAsia="游ゴシック" w:hAnsi="游ゴシック" w:hint="eastAsia"/>
        </w:rPr>
        <w:t>住宅用地とは「住宅の敷地の用に供されている土地」をいい、当該住宅を維持し、又はその効用を果たすために使用されている一画地の土地を</w:t>
      </w:r>
      <w:r>
        <w:rPr>
          <w:rFonts w:ascii="游ゴシック" w:eastAsia="游ゴシック" w:hAnsi="游ゴシック" w:hint="eastAsia"/>
        </w:rPr>
        <w:t>いいます</w:t>
      </w:r>
      <w:r w:rsidRPr="00F41CCA">
        <w:rPr>
          <w:rFonts w:ascii="游ゴシック" w:eastAsia="游ゴシック" w:hAnsi="游ゴシック" w:hint="eastAsia"/>
        </w:rPr>
        <w:t>。</w:t>
      </w:r>
      <w:r w:rsidR="00CB2513">
        <w:rPr>
          <w:rFonts w:ascii="游ゴシック" w:eastAsia="游ゴシック" w:hAnsi="游ゴシック"/>
        </w:rPr>
        <w:br/>
      </w:r>
      <w:r w:rsidR="00CB2513">
        <w:rPr>
          <w:rFonts w:ascii="游ゴシック" w:eastAsia="游ゴシック" w:hAnsi="游ゴシック" w:hint="eastAsia"/>
        </w:rPr>
        <w:t xml:space="preserve">　</w:t>
      </w:r>
      <w:r w:rsidRPr="00F41CCA">
        <w:rPr>
          <w:rFonts w:ascii="游ゴシック" w:eastAsia="游ゴシック" w:hAnsi="游ゴシック" w:hint="eastAsia"/>
        </w:rPr>
        <w:t>一画地の土地とは</w:t>
      </w:r>
      <w:r>
        <w:rPr>
          <w:rFonts w:ascii="游ゴシック" w:eastAsia="游ゴシック" w:hAnsi="游ゴシック" w:hint="eastAsia"/>
        </w:rPr>
        <w:t>、</w:t>
      </w:r>
      <w:r w:rsidRPr="00F41CCA">
        <w:rPr>
          <w:rFonts w:ascii="游ゴシック" w:eastAsia="游ゴシック" w:hAnsi="游ゴシック" w:hint="eastAsia"/>
        </w:rPr>
        <w:t>道路、塀、垣根、柵、溝、段差等により他の土地と区分して認定</w:t>
      </w:r>
      <w:r>
        <w:rPr>
          <w:rFonts w:ascii="游ゴシック" w:eastAsia="游ゴシック" w:hAnsi="游ゴシック" w:hint="eastAsia"/>
        </w:rPr>
        <w:t>します</w:t>
      </w:r>
      <w:r w:rsidRPr="00F41CCA">
        <w:rPr>
          <w:rFonts w:ascii="游ゴシック" w:eastAsia="游ゴシック" w:hAnsi="游ゴシック" w:hint="eastAsia"/>
        </w:rPr>
        <w:t>。また、このような明確な境</w:t>
      </w:r>
      <w:r w:rsidR="0012595A">
        <w:rPr>
          <w:rFonts w:ascii="游ゴシック" w:eastAsia="游ゴシック" w:hAnsi="游ゴシック" w:hint="eastAsia"/>
        </w:rPr>
        <w:t>界がない場合においては、土地の使用の実態によって区分し、認定します</w:t>
      </w:r>
      <w:r w:rsidRPr="00F41CCA">
        <w:rPr>
          <w:rFonts w:ascii="游ゴシック" w:eastAsia="游ゴシック" w:hAnsi="游ゴシック" w:hint="eastAsia"/>
        </w:rPr>
        <w:t>。</w:t>
      </w:r>
      <w:r w:rsidR="00CB2513">
        <w:rPr>
          <w:rFonts w:ascii="游ゴシック" w:eastAsia="游ゴシック" w:hAnsi="游ゴシック"/>
        </w:rPr>
        <w:br/>
      </w:r>
      <w:r w:rsidR="00CB2513">
        <w:rPr>
          <w:rFonts w:ascii="游ゴシック" w:eastAsia="游ゴシック" w:hAnsi="游ゴシック" w:hint="eastAsia"/>
        </w:rPr>
        <w:t xml:space="preserve">　</w:t>
      </w:r>
      <w:r w:rsidRPr="00F41CCA">
        <w:rPr>
          <w:rFonts w:ascii="游ゴシック" w:eastAsia="游ゴシック" w:hAnsi="游ゴシック" w:hint="eastAsia"/>
        </w:rPr>
        <w:t>住宅の敷地として使用されている土地が一部分である場合は、当該部分のみをもって一画地とし、数筆の土地にわたり一個の住宅が存する等、数筆の土地が一体</w:t>
      </w:r>
      <w:r w:rsidR="0012595A">
        <w:rPr>
          <w:rFonts w:ascii="游ゴシック" w:eastAsia="游ゴシック" w:hAnsi="游ゴシック" w:hint="eastAsia"/>
        </w:rPr>
        <w:t>として利用されているような場合には、数筆をもって一画地と認定します</w:t>
      </w:r>
      <w:r w:rsidRPr="00F41CCA">
        <w:rPr>
          <w:rFonts w:ascii="游ゴシック" w:eastAsia="游ゴシック" w:hAnsi="游ゴシック" w:hint="eastAsia"/>
        </w:rPr>
        <w:t>。</w:t>
      </w:r>
    </w:p>
    <w:p w:rsidR="007433B8" w:rsidRDefault="00484AD1" w:rsidP="007433B8">
      <w:pPr>
        <w:widowControl/>
        <w:jc w:val="left"/>
        <w:rPr>
          <w:rFonts w:ascii="游ゴシック" w:eastAsia="游ゴシック" w:hAnsi="游ゴシック"/>
        </w:rPr>
      </w:pPr>
      <w:r>
        <w:rPr>
          <w:rFonts w:ascii="游ゴシック" w:eastAsia="游ゴシック" w:hAnsi="游ゴシック" w:hint="eastAsia"/>
        </w:rPr>
        <w:t>（例）</w:t>
      </w:r>
    </w:p>
    <w:bookmarkStart w:id="1" w:name="_MON_1792909197"/>
    <w:bookmarkEnd w:id="1"/>
    <w:p w:rsidR="00484AD1" w:rsidRDefault="00B36A07" w:rsidP="007433B8">
      <w:pPr>
        <w:widowControl/>
        <w:jc w:val="left"/>
        <w:rPr>
          <w:rFonts w:ascii="游ゴシック" w:eastAsia="游ゴシック" w:hAnsi="游ゴシック"/>
        </w:rPr>
      </w:pPr>
      <w:r>
        <w:rPr>
          <w:rFonts w:ascii="游ゴシック" w:eastAsia="游ゴシック" w:hAnsi="游ゴシック"/>
        </w:rPr>
        <w:object w:dxaOrig="8529" w:dyaOrig="2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136.5pt" o:ole="">
            <v:imagedata r:id="rId6" o:title=""/>
          </v:shape>
          <o:OLEObject Type="Embed" ProgID="Excel.Sheet.12" ShapeID="_x0000_i1025" DrawAspect="Content" ObjectID="_1801462278" r:id="rId7"/>
        </w:object>
      </w:r>
    </w:p>
    <w:p w:rsidR="00484AD1" w:rsidRDefault="00484AD1" w:rsidP="007433B8">
      <w:pPr>
        <w:widowControl/>
        <w:jc w:val="left"/>
        <w:rPr>
          <w:rFonts w:ascii="游ゴシック" w:eastAsia="游ゴシック" w:hAnsi="游ゴシック"/>
        </w:rPr>
      </w:pPr>
    </w:p>
    <w:p w:rsidR="007433B8" w:rsidRPr="001D3EA7" w:rsidRDefault="007433B8" w:rsidP="007433B8">
      <w:pPr>
        <w:widowControl/>
        <w:jc w:val="left"/>
        <w:rPr>
          <w:rFonts w:ascii="游ゴシック" w:eastAsia="游ゴシック" w:hAnsi="游ゴシック"/>
          <w:b/>
        </w:rPr>
      </w:pPr>
      <w:r w:rsidRPr="001D3EA7">
        <w:rPr>
          <w:rFonts w:ascii="游ゴシック" w:eastAsia="游ゴシック" w:hAnsi="游ゴシック" w:hint="eastAsia"/>
          <w:b/>
        </w:rPr>
        <w:t>６　申告期限</w:t>
      </w:r>
    </w:p>
    <w:p w:rsidR="007433B8" w:rsidRDefault="007433B8" w:rsidP="00CB2513">
      <w:pPr>
        <w:widowControl/>
        <w:ind w:leftChars="100" w:left="210" w:firstLineChars="100" w:firstLine="210"/>
        <w:jc w:val="left"/>
        <w:rPr>
          <w:rFonts w:ascii="游ゴシック" w:eastAsia="游ゴシック" w:hAnsi="游ゴシック"/>
        </w:rPr>
      </w:pPr>
      <w:r>
        <w:rPr>
          <w:rFonts w:ascii="游ゴシック" w:eastAsia="游ゴシック" w:hAnsi="游ゴシック" w:hint="eastAsia"/>
        </w:rPr>
        <w:t>変更した日の属する年度の１月３１日までに申告する必要があります。</w:t>
      </w:r>
    </w:p>
    <w:p w:rsidR="007433B8" w:rsidRDefault="007433B8" w:rsidP="007433B8">
      <w:pPr>
        <w:widowControl/>
        <w:jc w:val="left"/>
        <w:rPr>
          <w:rFonts w:ascii="游ゴシック" w:eastAsia="游ゴシック" w:hAnsi="游ゴシック"/>
        </w:rPr>
      </w:pPr>
    </w:p>
    <w:p w:rsidR="007433B8" w:rsidRPr="007433B8" w:rsidRDefault="007433B8" w:rsidP="007433B8">
      <w:pPr>
        <w:rPr>
          <w:rFonts w:ascii="游ゴシック" w:eastAsia="游ゴシック" w:hAnsi="游ゴシック"/>
        </w:rPr>
      </w:pPr>
      <w:r w:rsidRPr="007433B8">
        <w:rPr>
          <w:rFonts w:ascii="游ゴシック" w:eastAsia="游ゴシック" w:hAnsi="游ゴシック" w:hint="eastAsia"/>
          <w:b/>
        </w:rPr>
        <w:t>７</w:t>
      </w:r>
      <w:r w:rsidRPr="00C02C54">
        <w:rPr>
          <w:rFonts w:ascii="游ゴシック" w:eastAsia="游ゴシック" w:hAnsi="游ゴシック" w:hint="eastAsia"/>
          <w:b/>
        </w:rPr>
        <w:t xml:space="preserve">　問合せ先</w:t>
      </w:r>
    </w:p>
    <w:p w:rsidR="007433B8" w:rsidRDefault="007433B8" w:rsidP="007433B8">
      <w:pPr>
        <w:ind w:leftChars="100" w:left="210"/>
        <w:rPr>
          <w:rFonts w:ascii="游ゴシック" w:eastAsia="游ゴシック" w:hAnsi="游ゴシック"/>
        </w:rPr>
      </w:pPr>
      <w:r>
        <w:rPr>
          <w:rFonts w:ascii="游ゴシック" w:eastAsia="游ゴシック" w:hAnsi="游ゴシック" w:hint="eastAsia"/>
        </w:rPr>
        <w:t xml:space="preserve">(1)　</w:t>
      </w:r>
      <w:r w:rsidRPr="007433B8">
        <w:rPr>
          <w:rFonts w:ascii="游ゴシック" w:eastAsia="游ゴシック" w:hAnsi="游ゴシック" w:hint="eastAsia"/>
          <w:spacing w:val="105"/>
          <w:kern w:val="0"/>
          <w:fitText w:val="630" w:id="-883157248"/>
        </w:rPr>
        <w:t>所</w:t>
      </w:r>
      <w:r w:rsidRPr="007433B8">
        <w:rPr>
          <w:rFonts w:ascii="游ゴシック" w:eastAsia="游ゴシック" w:hAnsi="游ゴシック" w:hint="eastAsia"/>
          <w:kern w:val="0"/>
          <w:fitText w:val="630" w:id="-883157248"/>
        </w:rPr>
        <w:t>属</w:t>
      </w:r>
      <w:r>
        <w:rPr>
          <w:rFonts w:ascii="游ゴシック" w:eastAsia="游ゴシック" w:hAnsi="游ゴシック" w:hint="eastAsia"/>
        </w:rPr>
        <w:t>：福山市企画財政局税務部資産税課</w:t>
      </w:r>
    </w:p>
    <w:p w:rsidR="00700E5E" w:rsidRDefault="007433B8" w:rsidP="00700E5E">
      <w:pPr>
        <w:ind w:leftChars="100" w:left="210"/>
        <w:rPr>
          <w:rFonts w:ascii="游ゴシック" w:eastAsia="游ゴシック" w:hAnsi="游ゴシック"/>
        </w:rPr>
      </w:pPr>
      <w:r>
        <w:rPr>
          <w:rFonts w:ascii="游ゴシック" w:eastAsia="游ゴシック" w:hAnsi="游ゴシック" w:hint="eastAsia"/>
        </w:rPr>
        <w:t xml:space="preserve">(2)　</w:t>
      </w:r>
      <w:r w:rsidRPr="007433B8">
        <w:rPr>
          <w:rFonts w:ascii="游ゴシック" w:eastAsia="游ゴシック" w:hAnsi="游ゴシック" w:hint="eastAsia"/>
          <w:spacing w:val="105"/>
          <w:kern w:val="0"/>
          <w:fitText w:val="630" w:id="-883157247"/>
        </w:rPr>
        <w:t>担</w:t>
      </w:r>
      <w:r w:rsidRPr="007433B8">
        <w:rPr>
          <w:rFonts w:ascii="游ゴシック" w:eastAsia="游ゴシック" w:hAnsi="游ゴシック" w:hint="eastAsia"/>
          <w:kern w:val="0"/>
          <w:fitText w:val="630" w:id="-883157247"/>
        </w:rPr>
        <w:t>当</w:t>
      </w:r>
      <w:r>
        <w:rPr>
          <w:rFonts w:ascii="游ゴシック" w:eastAsia="游ゴシック" w:hAnsi="游ゴシック" w:hint="eastAsia"/>
        </w:rPr>
        <w:t>：</w:t>
      </w:r>
      <w:r w:rsidR="00700E5E">
        <w:rPr>
          <w:rFonts w:ascii="游ゴシック" w:eastAsia="游ゴシック" w:hAnsi="游ゴシック" w:hint="eastAsia"/>
        </w:rPr>
        <w:t>土地第１担当・土地第2担当</w:t>
      </w:r>
    </w:p>
    <w:p w:rsidR="007433B8" w:rsidRDefault="00700E5E" w:rsidP="00700E5E">
      <w:pPr>
        <w:ind w:leftChars="100" w:left="210"/>
        <w:rPr>
          <w:rFonts w:ascii="游ゴシック" w:eastAsia="游ゴシック" w:hAnsi="游ゴシック"/>
        </w:rPr>
      </w:pPr>
      <w:r>
        <w:rPr>
          <w:rFonts w:ascii="游ゴシック" w:eastAsia="游ゴシック" w:hAnsi="游ゴシック" w:hint="eastAsia"/>
        </w:rPr>
        <w:t>(3)　連絡先：０８４－９２８－１０２４・１０２６</w:t>
      </w:r>
    </w:p>
    <w:sectPr w:rsidR="007433B8" w:rsidSect="0049754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C63" w:rsidRDefault="007C4C63" w:rsidP="007C4C63">
      <w:r>
        <w:separator/>
      </w:r>
    </w:p>
  </w:endnote>
  <w:endnote w:type="continuationSeparator" w:id="0">
    <w:p w:rsidR="007C4C63" w:rsidRDefault="007C4C63" w:rsidP="007C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C63" w:rsidRDefault="007C4C63" w:rsidP="007C4C63">
      <w:r>
        <w:separator/>
      </w:r>
    </w:p>
  </w:footnote>
  <w:footnote w:type="continuationSeparator" w:id="0">
    <w:p w:rsidR="007C4C63" w:rsidRDefault="007C4C63" w:rsidP="007C4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5D"/>
    <w:rsid w:val="000D6DDB"/>
    <w:rsid w:val="0012595A"/>
    <w:rsid w:val="001D3EA7"/>
    <w:rsid w:val="001E30C5"/>
    <w:rsid w:val="001E6046"/>
    <w:rsid w:val="002076DC"/>
    <w:rsid w:val="00233777"/>
    <w:rsid w:val="002C7B4A"/>
    <w:rsid w:val="00377B7F"/>
    <w:rsid w:val="003B518F"/>
    <w:rsid w:val="0043457E"/>
    <w:rsid w:val="00484AD1"/>
    <w:rsid w:val="0049754C"/>
    <w:rsid w:val="0052443E"/>
    <w:rsid w:val="00525860"/>
    <w:rsid w:val="00535318"/>
    <w:rsid w:val="00566898"/>
    <w:rsid w:val="005A2EAB"/>
    <w:rsid w:val="005E2C0F"/>
    <w:rsid w:val="00700E5E"/>
    <w:rsid w:val="007433B8"/>
    <w:rsid w:val="007671A5"/>
    <w:rsid w:val="007C3545"/>
    <w:rsid w:val="007C4C63"/>
    <w:rsid w:val="007E4252"/>
    <w:rsid w:val="00803A34"/>
    <w:rsid w:val="008A439E"/>
    <w:rsid w:val="008B4380"/>
    <w:rsid w:val="009248F8"/>
    <w:rsid w:val="0092497C"/>
    <w:rsid w:val="009F4A01"/>
    <w:rsid w:val="00A85F5D"/>
    <w:rsid w:val="00A95D32"/>
    <w:rsid w:val="00B332B1"/>
    <w:rsid w:val="00B36A07"/>
    <w:rsid w:val="00B6399C"/>
    <w:rsid w:val="00BA2258"/>
    <w:rsid w:val="00C50A2B"/>
    <w:rsid w:val="00C933DD"/>
    <w:rsid w:val="00CB2513"/>
    <w:rsid w:val="00CE0AB9"/>
    <w:rsid w:val="00DB0D5E"/>
    <w:rsid w:val="00E309A0"/>
    <w:rsid w:val="00E42F80"/>
    <w:rsid w:val="00E66C1D"/>
    <w:rsid w:val="00E75BD5"/>
    <w:rsid w:val="00F00C75"/>
    <w:rsid w:val="00F41CCA"/>
    <w:rsid w:val="00F469EB"/>
    <w:rsid w:val="00F5679E"/>
    <w:rsid w:val="00F63FCB"/>
    <w:rsid w:val="00F9671B"/>
    <w:rsid w:val="00FB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F2D8CED-BABD-4104-8438-DD7D9F06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4C63"/>
    <w:pPr>
      <w:tabs>
        <w:tab w:val="center" w:pos="4252"/>
        <w:tab w:val="right" w:pos="8504"/>
      </w:tabs>
      <w:snapToGrid w:val="0"/>
    </w:pPr>
  </w:style>
  <w:style w:type="character" w:customStyle="1" w:styleId="a5">
    <w:name w:val="ヘッダー (文字)"/>
    <w:basedOn w:val="a0"/>
    <w:link w:val="a4"/>
    <w:uiPriority w:val="99"/>
    <w:rsid w:val="007C4C63"/>
  </w:style>
  <w:style w:type="paragraph" w:styleId="a6">
    <w:name w:val="footer"/>
    <w:basedOn w:val="a"/>
    <w:link w:val="a7"/>
    <w:uiPriority w:val="99"/>
    <w:unhideWhenUsed/>
    <w:rsid w:val="007C4C63"/>
    <w:pPr>
      <w:tabs>
        <w:tab w:val="center" w:pos="4252"/>
        <w:tab w:val="right" w:pos="8504"/>
      </w:tabs>
      <w:snapToGrid w:val="0"/>
    </w:pPr>
  </w:style>
  <w:style w:type="character" w:customStyle="1" w:styleId="a7">
    <w:name w:val="フッター (文字)"/>
    <w:basedOn w:val="a0"/>
    <w:link w:val="a6"/>
    <w:uiPriority w:val="99"/>
    <w:rsid w:val="007C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______.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235</Words>
  <Characters>1343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2024-11-11T05:17:00Z</dcterms:created>
  <dcterms:modified xsi:type="dcterms:W3CDTF">2025-02-19T00:25:00Z</dcterms:modified>
</cp:coreProperties>
</file>