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BD5" w:rsidRPr="00A95D32" w:rsidRDefault="0049754C" w:rsidP="00A95D32">
      <w:pPr>
        <w:jc w:val="center"/>
        <w:rPr>
          <w:rFonts w:ascii="游ゴシック" w:eastAsia="游ゴシック" w:hAnsi="游ゴシック"/>
          <w:sz w:val="28"/>
        </w:rPr>
      </w:pPr>
      <w:r w:rsidRPr="00A95D32">
        <w:rPr>
          <w:rFonts w:ascii="游ゴシック" w:eastAsia="游ゴシック" w:hAnsi="游ゴシック" w:hint="eastAsia"/>
          <w:sz w:val="28"/>
        </w:rPr>
        <w:t>住宅用地申告書</w:t>
      </w:r>
      <w:r w:rsidR="00E3116F">
        <w:rPr>
          <w:rFonts w:ascii="游ゴシック" w:eastAsia="游ゴシック" w:hAnsi="游ゴシック" w:hint="eastAsia"/>
          <w:sz w:val="28"/>
        </w:rPr>
        <w:t>（建替特例）</w:t>
      </w:r>
      <w:r w:rsidRPr="00A95D32">
        <w:rPr>
          <w:rFonts w:ascii="游ゴシック" w:eastAsia="游ゴシック" w:hAnsi="游ゴシック" w:hint="eastAsia"/>
          <w:sz w:val="28"/>
        </w:rPr>
        <w:t>の提出について（お願い）</w:t>
      </w:r>
    </w:p>
    <w:p w:rsidR="00EC775C" w:rsidRPr="00AC09F9" w:rsidRDefault="00EC775C" w:rsidP="007671A5">
      <w:pPr>
        <w:rPr>
          <w:rFonts w:ascii="游ゴシック" w:eastAsia="游ゴシック" w:hAnsi="游ゴシック"/>
        </w:rPr>
      </w:pPr>
    </w:p>
    <w:p w:rsidR="00EC775C" w:rsidRDefault="00EC775C" w:rsidP="00EC775C">
      <w:pPr>
        <w:jc w:val="right"/>
        <w:rPr>
          <w:rFonts w:ascii="游ゴシック" w:eastAsia="游ゴシック" w:hAnsi="游ゴシック"/>
        </w:rPr>
      </w:pPr>
      <w:r>
        <w:rPr>
          <w:rFonts w:ascii="游ゴシック" w:eastAsia="游ゴシック" w:hAnsi="游ゴシック" w:hint="eastAsia"/>
        </w:rPr>
        <w:t>福山市企画財政局税務部資産税課</w:t>
      </w:r>
    </w:p>
    <w:p w:rsidR="00EC775C" w:rsidRDefault="00EC775C" w:rsidP="007671A5">
      <w:pPr>
        <w:rPr>
          <w:rFonts w:ascii="游ゴシック" w:eastAsia="游ゴシック" w:hAnsi="游ゴシック"/>
        </w:rPr>
      </w:pPr>
    </w:p>
    <w:p w:rsidR="007671A5" w:rsidRPr="007671A5" w:rsidRDefault="007671A5" w:rsidP="00954C5D">
      <w:pPr>
        <w:ind w:firstLineChars="100" w:firstLine="210"/>
        <w:rPr>
          <w:rFonts w:ascii="游ゴシック" w:eastAsia="游ゴシック" w:hAnsi="游ゴシック"/>
        </w:rPr>
      </w:pPr>
      <w:r w:rsidRPr="007671A5">
        <w:rPr>
          <w:rFonts w:ascii="游ゴシック" w:eastAsia="游ゴシック" w:hAnsi="游ゴシック" w:hint="eastAsia"/>
        </w:rPr>
        <w:t>住宅用地については</w:t>
      </w:r>
      <w:r w:rsidR="00A95D32">
        <w:rPr>
          <w:rFonts w:ascii="游ゴシック" w:eastAsia="游ゴシック" w:hAnsi="游ゴシック" w:hint="eastAsia"/>
        </w:rPr>
        <w:t>、</w:t>
      </w:r>
      <w:r w:rsidRPr="007671A5">
        <w:rPr>
          <w:rFonts w:ascii="游ゴシック" w:eastAsia="游ゴシック" w:hAnsi="游ゴシック" w:hint="eastAsia"/>
        </w:rPr>
        <w:t>その税負担を特に軽減する必要があることから</w:t>
      </w:r>
      <w:r w:rsidR="00A95D32">
        <w:rPr>
          <w:rFonts w:ascii="游ゴシック" w:eastAsia="游ゴシック" w:hAnsi="游ゴシック" w:hint="eastAsia"/>
        </w:rPr>
        <w:t>、</w:t>
      </w:r>
      <w:r w:rsidRPr="007671A5">
        <w:rPr>
          <w:rFonts w:ascii="游ゴシック" w:eastAsia="游ゴシック" w:hAnsi="游ゴシック" w:hint="eastAsia"/>
        </w:rPr>
        <w:t>固定資産税及び都市計画税について課税標準の特例措置が設けられています。</w:t>
      </w:r>
    </w:p>
    <w:p w:rsidR="0049754C" w:rsidRDefault="00242ACE" w:rsidP="007671A5">
      <w:pPr>
        <w:ind w:firstLineChars="100" w:firstLine="210"/>
        <w:rPr>
          <w:rFonts w:ascii="游ゴシック" w:eastAsia="游ゴシック" w:hAnsi="游ゴシック"/>
        </w:rPr>
      </w:pPr>
      <w:r>
        <w:rPr>
          <w:rFonts w:ascii="游ゴシック" w:eastAsia="游ゴシック" w:hAnsi="游ゴシック" w:hint="eastAsia"/>
        </w:rPr>
        <w:t>賦課期日である１月１日に住宅の敷地とされていない土地は住宅用地とはなりませんが、</w:t>
      </w:r>
      <w:r w:rsidR="00D7511D">
        <w:rPr>
          <w:rFonts w:ascii="游ゴシック" w:eastAsia="游ゴシック" w:hAnsi="游ゴシック" w:hint="eastAsia"/>
        </w:rPr>
        <w:t>住宅用地を引き続き所有し、</w:t>
      </w:r>
      <w:r w:rsidR="00C87570">
        <w:rPr>
          <w:rFonts w:ascii="游ゴシック" w:eastAsia="游ゴシック" w:hAnsi="游ゴシック" w:hint="eastAsia"/>
        </w:rPr>
        <w:t>一定の条件を満たせば住宅用地と取扱う</w:t>
      </w:r>
      <w:r w:rsidR="00A031BB">
        <w:rPr>
          <w:rFonts w:ascii="游ゴシック" w:eastAsia="游ゴシック" w:hAnsi="游ゴシック" w:hint="eastAsia"/>
        </w:rPr>
        <w:t>ことができます。該当する場合は</w:t>
      </w:r>
      <w:r w:rsidR="00A95D32">
        <w:rPr>
          <w:rFonts w:ascii="游ゴシック" w:eastAsia="游ゴシック" w:hAnsi="游ゴシック" w:hint="eastAsia"/>
        </w:rPr>
        <w:t>、</w:t>
      </w:r>
      <w:r w:rsidR="007671A5" w:rsidRPr="007671A5">
        <w:rPr>
          <w:rFonts w:ascii="游ゴシック" w:eastAsia="游ゴシック" w:hAnsi="游ゴシック" w:hint="eastAsia"/>
        </w:rPr>
        <w:t>福山市税条例第６５条の規定により申告していただく必要があります。税額を決定するうえで大変重要な情報となりますので</w:t>
      </w:r>
      <w:r w:rsidR="00A95D32">
        <w:rPr>
          <w:rFonts w:ascii="游ゴシック" w:eastAsia="游ゴシック" w:hAnsi="游ゴシック" w:hint="eastAsia"/>
        </w:rPr>
        <w:t>、</w:t>
      </w:r>
      <w:r w:rsidR="007671A5" w:rsidRPr="007671A5">
        <w:rPr>
          <w:rFonts w:ascii="游ゴシック" w:eastAsia="游ゴシック" w:hAnsi="游ゴシック" w:hint="eastAsia"/>
        </w:rPr>
        <w:t>該当される方は</w:t>
      </w:r>
      <w:r w:rsidR="00A95D32">
        <w:rPr>
          <w:rFonts w:ascii="游ゴシック" w:eastAsia="游ゴシック" w:hAnsi="游ゴシック" w:hint="eastAsia"/>
        </w:rPr>
        <w:t>、</w:t>
      </w:r>
      <w:r w:rsidR="007671A5" w:rsidRPr="007671A5">
        <w:rPr>
          <w:rFonts w:ascii="游ゴシック" w:eastAsia="游ゴシック" w:hAnsi="游ゴシック" w:hint="eastAsia"/>
        </w:rPr>
        <w:t>住宅用地申告書</w:t>
      </w:r>
      <w:r w:rsidR="00A031BB">
        <w:rPr>
          <w:rFonts w:ascii="游ゴシック" w:eastAsia="游ゴシック" w:hAnsi="游ゴシック" w:hint="eastAsia"/>
        </w:rPr>
        <w:t>（建替特例）に必要事項を記入</w:t>
      </w:r>
      <w:r w:rsidR="007671A5" w:rsidRPr="007671A5">
        <w:rPr>
          <w:rFonts w:ascii="游ゴシック" w:eastAsia="游ゴシック" w:hAnsi="游ゴシック" w:hint="eastAsia"/>
        </w:rPr>
        <w:t>のうえ</w:t>
      </w:r>
      <w:r w:rsidR="00A95D32">
        <w:rPr>
          <w:rFonts w:ascii="游ゴシック" w:eastAsia="游ゴシック" w:hAnsi="游ゴシック" w:hint="eastAsia"/>
        </w:rPr>
        <w:t>、</w:t>
      </w:r>
      <w:r w:rsidR="007671A5" w:rsidRPr="007671A5">
        <w:rPr>
          <w:rFonts w:ascii="游ゴシック" w:eastAsia="游ゴシック" w:hAnsi="游ゴシック" w:hint="eastAsia"/>
        </w:rPr>
        <w:t>資産税担当課へ必ず提出してください。</w:t>
      </w:r>
    </w:p>
    <w:p w:rsidR="00F07C1A" w:rsidRPr="00CA02AD" w:rsidRDefault="00F07C1A" w:rsidP="007F1046">
      <w:pPr>
        <w:spacing w:beforeLines="50" w:before="180"/>
        <w:rPr>
          <w:rFonts w:ascii="游ゴシック" w:eastAsia="游ゴシック" w:hAnsi="游ゴシック"/>
          <w:b/>
        </w:rPr>
      </w:pPr>
      <w:r w:rsidRPr="00CA02AD">
        <w:rPr>
          <w:rFonts w:ascii="游ゴシック" w:eastAsia="游ゴシック" w:hAnsi="游ゴシック" w:hint="eastAsia"/>
          <w:b/>
        </w:rPr>
        <w:t xml:space="preserve">１　</w:t>
      </w:r>
      <w:r w:rsidRPr="00CA02AD">
        <w:rPr>
          <w:rFonts w:ascii="游ゴシック" w:eastAsia="游ゴシック" w:hAnsi="游ゴシック"/>
          <w:b/>
        </w:rPr>
        <w:t>住宅建替え中の土地の固定資産税・都市計画税にかかる課税標準の特例措置の条件</w:t>
      </w:r>
    </w:p>
    <w:p w:rsidR="00F07C1A" w:rsidRPr="007C3545" w:rsidRDefault="00F07C1A" w:rsidP="00F07C1A">
      <w:pPr>
        <w:ind w:leftChars="100" w:left="420" w:hangingChars="100" w:hanging="210"/>
        <w:rPr>
          <w:rFonts w:ascii="游ゴシック" w:eastAsia="游ゴシック" w:hAnsi="游ゴシック"/>
        </w:rPr>
      </w:pPr>
      <w:r w:rsidRPr="007C3545">
        <w:rPr>
          <w:rFonts w:ascii="游ゴシック" w:eastAsia="游ゴシック" w:hAnsi="游ゴシック"/>
        </w:rPr>
        <w:t>(1) 当該土地が、当該年度の前年度に係る賦課期日において住宅用地であったこと。</w:t>
      </w:r>
    </w:p>
    <w:p w:rsidR="00F07C1A" w:rsidRPr="007C3545" w:rsidRDefault="00F07C1A" w:rsidP="00F07C1A">
      <w:pPr>
        <w:ind w:leftChars="100" w:left="420" w:hangingChars="100" w:hanging="210"/>
        <w:rPr>
          <w:rFonts w:ascii="游ゴシック" w:eastAsia="游ゴシック" w:hAnsi="游ゴシック"/>
        </w:rPr>
      </w:pPr>
      <w:r w:rsidRPr="007C3545">
        <w:rPr>
          <w:rFonts w:ascii="游ゴシック" w:eastAsia="游ゴシック" w:hAnsi="游ゴシック"/>
        </w:rPr>
        <w:t>(2) 当該土地において、住宅の建設が当該年度に係る賦課期日において着手されており、当</w:t>
      </w:r>
      <w:r w:rsidRPr="007C3545">
        <w:rPr>
          <w:rFonts w:ascii="游ゴシック" w:eastAsia="游ゴシック" w:hAnsi="游ゴシック" w:hint="eastAsia"/>
        </w:rPr>
        <w:t>該住宅が当該年度の翌年度に係る賦課期日までに完成するものであること。</w:t>
      </w:r>
    </w:p>
    <w:p w:rsidR="00F07C1A" w:rsidRPr="007C3545" w:rsidRDefault="00F07C1A" w:rsidP="00F07C1A">
      <w:pPr>
        <w:ind w:leftChars="100" w:left="420" w:hangingChars="100" w:hanging="210"/>
        <w:rPr>
          <w:rFonts w:ascii="游ゴシック" w:eastAsia="游ゴシック" w:hAnsi="游ゴシック"/>
        </w:rPr>
      </w:pPr>
      <w:r w:rsidRPr="007C3545">
        <w:rPr>
          <w:rFonts w:ascii="游ゴシック" w:eastAsia="游ゴシック" w:hAnsi="游ゴシック"/>
        </w:rPr>
        <w:t>(3) 住宅の建替えが、建替え前の敷地と同一の敷地において行なわれるものであること。</w:t>
      </w:r>
    </w:p>
    <w:p w:rsidR="00F07C1A" w:rsidRPr="007C3545" w:rsidRDefault="00F07C1A" w:rsidP="00F07C1A">
      <w:pPr>
        <w:ind w:leftChars="100" w:left="420" w:hangingChars="100" w:hanging="210"/>
        <w:rPr>
          <w:rFonts w:ascii="游ゴシック" w:eastAsia="游ゴシック" w:hAnsi="游ゴシック"/>
        </w:rPr>
      </w:pPr>
      <w:r w:rsidRPr="007C3545">
        <w:rPr>
          <w:rFonts w:ascii="游ゴシック" w:eastAsia="游ゴシック" w:hAnsi="游ゴシック"/>
        </w:rPr>
        <w:t>(4) 当該年度の前年度に係る賦課期日における当該土地の所有者と、当該年度に係る賦課期</w:t>
      </w:r>
      <w:r w:rsidRPr="007C3545">
        <w:rPr>
          <w:rFonts w:ascii="游ゴシック" w:eastAsia="游ゴシック" w:hAnsi="游ゴシック" w:hint="eastAsia"/>
        </w:rPr>
        <w:t>日における当該土地の所有者が、原則として同一であること。</w:t>
      </w:r>
    </w:p>
    <w:p w:rsidR="00F07C1A" w:rsidRDefault="00F07C1A" w:rsidP="00F07C1A">
      <w:pPr>
        <w:ind w:leftChars="100" w:left="420" w:hangingChars="100" w:hanging="210"/>
        <w:rPr>
          <w:rFonts w:ascii="游ゴシック" w:eastAsia="游ゴシック" w:hAnsi="游ゴシック"/>
        </w:rPr>
      </w:pPr>
      <w:r w:rsidRPr="007C3545">
        <w:rPr>
          <w:rFonts w:ascii="游ゴシック" w:eastAsia="游ゴシック" w:hAnsi="游ゴシック"/>
        </w:rPr>
        <w:t>(5) 当該年度の前年度に係る賦課期日における当該住宅の所有者と、当該年度に係る賦課期</w:t>
      </w:r>
      <w:r w:rsidRPr="007C3545">
        <w:rPr>
          <w:rFonts w:ascii="游ゴシック" w:eastAsia="游ゴシック" w:hAnsi="游ゴシック" w:hint="eastAsia"/>
        </w:rPr>
        <w:t>日における当該住宅の所有者が、原則として同一であること。</w:t>
      </w:r>
    </w:p>
    <w:p w:rsidR="00F07C1A" w:rsidRPr="00CA02AD" w:rsidRDefault="00F07C1A" w:rsidP="005C43C0">
      <w:pPr>
        <w:spacing w:beforeLines="50" w:before="180"/>
        <w:rPr>
          <w:rFonts w:ascii="游ゴシック" w:eastAsia="游ゴシック" w:hAnsi="游ゴシック"/>
          <w:b/>
        </w:rPr>
      </w:pPr>
      <w:r w:rsidRPr="00CA02AD">
        <w:rPr>
          <w:rFonts w:ascii="游ゴシック" w:eastAsia="游ゴシック" w:hAnsi="游ゴシック" w:hint="eastAsia"/>
          <w:b/>
        </w:rPr>
        <w:t>２　１－(2)の住宅の建設の着手とは、</w:t>
      </w:r>
    </w:p>
    <w:p w:rsidR="001C14C3" w:rsidRDefault="001C14C3" w:rsidP="001C14C3">
      <w:pPr>
        <w:ind w:leftChars="100" w:left="210" w:firstLineChars="100" w:firstLine="210"/>
        <w:rPr>
          <w:rFonts w:ascii="游ゴシック" w:eastAsia="游ゴシック" w:hAnsi="游ゴシック"/>
        </w:rPr>
      </w:pPr>
      <w:r w:rsidRPr="001C14C3">
        <w:rPr>
          <w:rFonts w:ascii="游ゴシック" w:eastAsia="游ゴシック" w:hAnsi="游ゴシック" w:hint="eastAsia"/>
        </w:rPr>
        <w:t>「杭打ち工事」「地盤改良工事」「山留め工事」又は「根切り工事」に係る工事が開始された時点をいい、地鎮祭の挙行、地盤調査のための掘削やボーリングの実施は含</w:t>
      </w:r>
      <w:r w:rsidR="001A3AF8">
        <w:rPr>
          <w:rFonts w:ascii="游ゴシック" w:eastAsia="游ゴシック" w:hAnsi="游ゴシック" w:hint="eastAsia"/>
        </w:rPr>
        <w:t>みません</w:t>
      </w:r>
      <w:r w:rsidRPr="001C14C3">
        <w:rPr>
          <w:rFonts w:ascii="游ゴシック" w:eastAsia="游ゴシック" w:hAnsi="游ゴシック" w:hint="eastAsia"/>
        </w:rPr>
        <w:t>。</w:t>
      </w:r>
    </w:p>
    <w:p w:rsidR="00F07C1A" w:rsidRPr="00CA02AD" w:rsidRDefault="00F07C1A" w:rsidP="005C43C0">
      <w:pPr>
        <w:spacing w:beforeLines="50" w:before="180"/>
        <w:rPr>
          <w:rFonts w:ascii="游ゴシック" w:eastAsia="游ゴシック" w:hAnsi="游ゴシック"/>
          <w:b/>
        </w:rPr>
      </w:pPr>
      <w:r w:rsidRPr="00CA02AD">
        <w:rPr>
          <w:rFonts w:ascii="游ゴシック" w:eastAsia="游ゴシック" w:hAnsi="游ゴシック" w:hint="eastAsia"/>
          <w:b/>
        </w:rPr>
        <w:t>３　１－(3)の「同一の敷地」とは、</w:t>
      </w:r>
    </w:p>
    <w:p w:rsidR="00F07C1A" w:rsidRDefault="00F07C1A" w:rsidP="00F07C1A">
      <w:pPr>
        <w:ind w:leftChars="100" w:left="210" w:firstLineChars="100" w:firstLine="210"/>
        <w:rPr>
          <w:rFonts w:ascii="游ゴシック" w:eastAsia="游ゴシック" w:hAnsi="游ゴシック"/>
        </w:rPr>
      </w:pPr>
      <w:r w:rsidRPr="0052443E">
        <w:rPr>
          <w:rFonts w:ascii="游ゴシック" w:eastAsia="游ゴシック" w:hAnsi="游ゴシック" w:hint="eastAsia"/>
        </w:rPr>
        <w:t>「建替え後の敷地の面積」に占める「当該建替え後の敷地のうち建替え前の敷地に該当する部分の面積」の割合が概ね５割以上のものになります。</w:t>
      </w:r>
      <w:r>
        <w:rPr>
          <w:rFonts w:ascii="游ゴシック" w:eastAsia="游ゴシック" w:hAnsi="游ゴシック"/>
        </w:rPr>
        <w:br/>
      </w:r>
      <w:r>
        <w:rPr>
          <w:rFonts w:ascii="游ゴシック" w:eastAsia="游ゴシック" w:hAnsi="游ゴシック" w:hint="eastAsia"/>
        </w:rPr>
        <w:t xml:space="preserve">　</w:t>
      </w:r>
      <w:r w:rsidRPr="0052443E">
        <w:rPr>
          <w:rFonts w:ascii="游ゴシック" w:eastAsia="游ゴシック" w:hAnsi="游ゴシック" w:hint="eastAsia"/>
        </w:rPr>
        <w:t>また、建替え後の敷地のうち建替え前の敷地に該当する部分のみを住宅用地と認定します。</w:t>
      </w:r>
    </w:p>
    <w:p w:rsidR="00F07C1A" w:rsidRPr="00CA02AD" w:rsidRDefault="00F07C1A" w:rsidP="005C43C0">
      <w:pPr>
        <w:spacing w:beforeLines="50" w:before="180"/>
        <w:rPr>
          <w:rFonts w:ascii="游ゴシック" w:eastAsia="游ゴシック" w:hAnsi="游ゴシック"/>
          <w:b/>
        </w:rPr>
      </w:pPr>
      <w:r w:rsidRPr="00CA02AD">
        <w:rPr>
          <w:rFonts w:ascii="游ゴシック" w:eastAsia="游ゴシック" w:hAnsi="游ゴシック" w:hint="eastAsia"/>
          <w:b/>
        </w:rPr>
        <w:t>４　１－(4)及び(5)の「原則として同一であること」とは、</w:t>
      </w:r>
    </w:p>
    <w:p w:rsidR="00F07C1A" w:rsidRDefault="00F07C1A" w:rsidP="00F07C1A">
      <w:pPr>
        <w:ind w:leftChars="100" w:left="210"/>
        <w:rPr>
          <w:rFonts w:ascii="游ゴシック" w:eastAsia="游ゴシック" w:hAnsi="游ゴシック"/>
        </w:rPr>
      </w:pPr>
      <w:r>
        <w:rPr>
          <w:rFonts w:ascii="游ゴシック" w:eastAsia="游ゴシック" w:hAnsi="游ゴシック" w:hint="eastAsia"/>
        </w:rPr>
        <w:t xml:space="preserve">　</w:t>
      </w:r>
      <w:r w:rsidRPr="00F5679E">
        <w:rPr>
          <w:rFonts w:ascii="游ゴシック" w:eastAsia="游ゴシック" w:hAnsi="游ゴシック" w:hint="eastAsia"/>
        </w:rPr>
        <w:t>次のような場合は、同一として取扱います。</w:t>
      </w:r>
    </w:p>
    <w:p w:rsidR="00F07C1A" w:rsidRPr="00F469EB" w:rsidRDefault="00F07C1A" w:rsidP="00F07C1A">
      <w:pPr>
        <w:ind w:leftChars="100" w:left="420" w:hangingChars="100" w:hanging="210"/>
        <w:rPr>
          <w:rFonts w:ascii="游ゴシック" w:eastAsia="游ゴシック" w:hAnsi="游ゴシック"/>
        </w:rPr>
      </w:pPr>
      <w:r w:rsidRPr="00F469EB">
        <w:rPr>
          <w:rFonts w:ascii="游ゴシック" w:eastAsia="游ゴシック" w:hAnsi="游ゴシック"/>
        </w:rPr>
        <w:t>(1) 当該年度の前年度に係る賦課期日における当該土地の所有者の配偶者又は直系血族が、</w:t>
      </w:r>
      <w:r w:rsidRPr="00F469EB">
        <w:rPr>
          <w:rFonts w:ascii="游ゴシック" w:eastAsia="游ゴシック" w:hAnsi="游ゴシック" w:hint="eastAsia"/>
        </w:rPr>
        <w:t>住宅を建て替える場合</w:t>
      </w:r>
    </w:p>
    <w:p w:rsidR="00C02C54" w:rsidRDefault="00F07C1A" w:rsidP="00C02C54">
      <w:pPr>
        <w:ind w:leftChars="100" w:left="420" w:hangingChars="100" w:hanging="210"/>
        <w:rPr>
          <w:rFonts w:ascii="游ゴシック" w:eastAsia="游ゴシック" w:hAnsi="游ゴシック"/>
        </w:rPr>
      </w:pPr>
      <w:r w:rsidRPr="00F469EB">
        <w:rPr>
          <w:rFonts w:ascii="游ゴシック" w:eastAsia="游ゴシック" w:hAnsi="游ゴシック"/>
        </w:rPr>
        <w:t>(2) 当該年度の前年度に係る賦課期日における当該家屋の所有者の配偶者又は直系血族が、</w:t>
      </w:r>
      <w:r w:rsidRPr="00F469EB">
        <w:rPr>
          <w:rFonts w:ascii="游ゴシック" w:eastAsia="游ゴシック" w:hAnsi="游ゴシック" w:hint="eastAsia"/>
        </w:rPr>
        <w:t>住宅を建て替える場合</w:t>
      </w:r>
      <w:bookmarkStart w:id="0" w:name="_GoBack"/>
      <w:bookmarkEnd w:id="0"/>
    </w:p>
    <w:p w:rsidR="00F07C1A" w:rsidRPr="00F469EB" w:rsidRDefault="00F07C1A" w:rsidP="00F07C1A">
      <w:pPr>
        <w:ind w:leftChars="100" w:left="420" w:hangingChars="100" w:hanging="210"/>
        <w:rPr>
          <w:rFonts w:ascii="游ゴシック" w:eastAsia="游ゴシック" w:hAnsi="游ゴシック"/>
        </w:rPr>
      </w:pPr>
      <w:r w:rsidRPr="00F469EB">
        <w:rPr>
          <w:rFonts w:ascii="游ゴシック" w:eastAsia="游ゴシック" w:hAnsi="游ゴシック"/>
        </w:rPr>
        <w:t>(3) 建替え中又は建替え後の土地の所有形態が、当該年度の前年度に係る賦課期日における</w:t>
      </w:r>
      <w:r w:rsidRPr="00F469EB">
        <w:rPr>
          <w:rFonts w:ascii="游ゴシック" w:eastAsia="游ゴシック" w:hAnsi="游ゴシック" w:hint="eastAsia"/>
        </w:rPr>
        <w:t>当該土地の所有者の持分を含む共有となる場合</w:t>
      </w:r>
    </w:p>
    <w:p w:rsidR="00F07C1A" w:rsidRDefault="00F07C1A" w:rsidP="00F07C1A">
      <w:pPr>
        <w:ind w:leftChars="100" w:left="420" w:hangingChars="100" w:hanging="210"/>
        <w:rPr>
          <w:rFonts w:ascii="游ゴシック" w:eastAsia="游ゴシック" w:hAnsi="游ゴシック"/>
        </w:rPr>
      </w:pPr>
      <w:r w:rsidRPr="00F469EB">
        <w:rPr>
          <w:rFonts w:ascii="游ゴシック" w:eastAsia="游ゴシック" w:hAnsi="游ゴシック"/>
        </w:rPr>
        <w:t>(4) 建替え後の家屋の所有形態が、当該年度の前年度に係る賦課期日における当該土地の所</w:t>
      </w:r>
      <w:r w:rsidRPr="00F469EB">
        <w:rPr>
          <w:rFonts w:ascii="游ゴシック" w:eastAsia="游ゴシック" w:hAnsi="游ゴシック" w:hint="eastAsia"/>
        </w:rPr>
        <w:t>有者の持分を含む共有となる場合</w:t>
      </w:r>
    </w:p>
    <w:p w:rsidR="00F07C1A" w:rsidRPr="00CA02AD" w:rsidRDefault="00F07C1A" w:rsidP="005C43C0">
      <w:pPr>
        <w:spacing w:before="100" w:beforeAutospacing="1"/>
        <w:rPr>
          <w:rFonts w:ascii="游ゴシック" w:eastAsia="游ゴシック" w:hAnsi="游ゴシック"/>
          <w:b/>
        </w:rPr>
      </w:pPr>
      <w:r w:rsidRPr="00CA02AD">
        <w:rPr>
          <w:rFonts w:ascii="游ゴシック" w:eastAsia="游ゴシック" w:hAnsi="游ゴシック" w:hint="eastAsia"/>
          <w:b/>
        </w:rPr>
        <w:lastRenderedPageBreak/>
        <w:t>５　住宅用地の限度</w:t>
      </w:r>
    </w:p>
    <w:p w:rsidR="00F07C1A" w:rsidRPr="00535318" w:rsidRDefault="00F07C1A" w:rsidP="00F07C1A">
      <w:pPr>
        <w:ind w:leftChars="100" w:left="210" w:firstLineChars="100" w:firstLine="210"/>
        <w:rPr>
          <w:rFonts w:ascii="游ゴシック" w:eastAsia="游ゴシック" w:hAnsi="游ゴシック"/>
        </w:rPr>
      </w:pPr>
      <w:r w:rsidRPr="00535318">
        <w:rPr>
          <w:rFonts w:ascii="游ゴシック" w:eastAsia="游ゴシック" w:hAnsi="游ゴシック" w:hint="eastAsia"/>
        </w:rPr>
        <w:t>住居の数、居住部分の割合等が変わったことにより、建替え前と建替え後で、住宅用地の面積又は住宅用地のうち小規模住宅用地となる部分の面積が異なる場合には、次の方法によることとします。</w:t>
      </w:r>
    </w:p>
    <w:p w:rsidR="00F07C1A" w:rsidRPr="00535318" w:rsidRDefault="00F07C1A" w:rsidP="00F07C1A">
      <w:pPr>
        <w:ind w:leftChars="100" w:left="420" w:hangingChars="100" w:hanging="210"/>
        <w:rPr>
          <w:rFonts w:ascii="游ゴシック" w:eastAsia="游ゴシック" w:hAnsi="游ゴシック"/>
        </w:rPr>
      </w:pPr>
      <w:r w:rsidRPr="00535318">
        <w:rPr>
          <w:rFonts w:ascii="游ゴシック" w:eastAsia="游ゴシック" w:hAnsi="游ゴシック"/>
        </w:rPr>
        <w:t>(1) 住宅用地の面積で建替え前と建替え後でいずれか小さい方をとります。</w:t>
      </w:r>
    </w:p>
    <w:p w:rsidR="00F07C1A" w:rsidRPr="00535318" w:rsidRDefault="00F07C1A" w:rsidP="00F07C1A">
      <w:pPr>
        <w:ind w:leftChars="100" w:left="420" w:hangingChars="100" w:hanging="210"/>
        <w:rPr>
          <w:rFonts w:ascii="游ゴシック" w:eastAsia="游ゴシック" w:hAnsi="游ゴシック"/>
        </w:rPr>
      </w:pPr>
      <w:r w:rsidRPr="00535318">
        <w:rPr>
          <w:rFonts w:ascii="游ゴシック" w:eastAsia="游ゴシック" w:hAnsi="游ゴシック"/>
        </w:rPr>
        <w:t>(2) 当該住宅用地のうち小規模住宅用地である部分の面積で建替え前と建替え後のいずれか</w:t>
      </w:r>
      <w:r w:rsidRPr="00535318">
        <w:rPr>
          <w:rFonts w:ascii="游ゴシック" w:eastAsia="游ゴシック" w:hAnsi="游ゴシック" w:hint="eastAsia"/>
        </w:rPr>
        <w:t>小さい方をとり、当該面積を小規模住宅用地である部分の面積とします。</w:t>
      </w:r>
    </w:p>
    <w:p w:rsidR="00F07C1A" w:rsidRDefault="00F07C1A" w:rsidP="00F07C1A">
      <w:pPr>
        <w:ind w:leftChars="100" w:left="420" w:hangingChars="100" w:hanging="210"/>
        <w:rPr>
          <w:rFonts w:ascii="游ゴシック" w:eastAsia="游ゴシック" w:hAnsi="游ゴシック"/>
        </w:rPr>
      </w:pPr>
      <w:r w:rsidRPr="00535318">
        <w:rPr>
          <w:rFonts w:ascii="游ゴシック" w:eastAsia="游ゴシック" w:hAnsi="游ゴシック"/>
        </w:rPr>
        <w:t>(3) (1)の住宅用地の面積から(2)の小規模住宅用地である部分の面積を引いた面積を、一般住</w:t>
      </w:r>
      <w:r w:rsidRPr="00535318">
        <w:rPr>
          <w:rFonts w:ascii="游ゴシック" w:eastAsia="游ゴシック" w:hAnsi="游ゴシック" w:hint="eastAsia"/>
        </w:rPr>
        <w:t>宅用地である部分の面積とします。</w:t>
      </w:r>
    </w:p>
    <w:p w:rsidR="00F07C1A" w:rsidRPr="00CA02AD" w:rsidRDefault="00F07C1A" w:rsidP="005C43C0">
      <w:pPr>
        <w:spacing w:beforeLines="50" w:before="180"/>
        <w:rPr>
          <w:rFonts w:ascii="游ゴシック" w:eastAsia="游ゴシック" w:hAnsi="游ゴシック"/>
          <w:b/>
        </w:rPr>
      </w:pPr>
      <w:r w:rsidRPr="00CA02AD">
        <w:rPr>
          <w:rFonts w:ascii="游ゴシック" w:eastAsia="游ゴシック" w:hAnsi="游ゴシック" w:hint="eastAsia"/>
          <w:b/>
        </w:rPr>
        <w:t>６　税額の更正について</w:t>
      </w:r>
    </w:p>
    <w:p w:rsidR="00F07C1A" w:rsidRDefault="00F07C1A" w:rsidP="00F07C1A">
      <w:pPr>
        <w:ind w:leftChars="100" w:left="210" w:firstLineChars="100" w:firstLine="210"/>
        <w:rPr>
          <w:rFonts w:ascii="游ゴシック" w:eastAsia="游ゴシック" w:hAnsi="游ゴシック"/>
        </w:rPr>
      </w:pPr>
      <w:r w:rsidRPr="00F07C1A">
        <w:rPr>
          <w:rFonts w:ascii="游ゴシック" w:eastAsia="游ゴシック" w:hAnsi="游ゴシック" w:hint="eastAsia"/>
        </w:rPr>
        <w:t>完成した家屋が住宅以外のものであった場合は、当該年度分の固定資産税又は都市計画税について、改めて非住宅用地として課税することになります。</w:t>
      </w:r>
    </w:p>
    <w:p w:rsidR="00B332B1" w:rsidRPr="00CA02AD" w:rsidRDefault="001C14C3" w:rsidP="005C43C0">
      <w:pPr>
        <w:spacing w:before="100" w:beforeAutospacing="1"/>
        <w:rPr>
          <w:rFonts w:ascii="游ゴシック" w:eastAsia="游ゴシック" w:hAnsi="游ゴシック"/>
          <w:b/>
        </w:rPr>
      </w:pPr>
      <w:r w:rsidRPr="00CA02AD">
        <w:rPr>
          <w:rFonts w:ascii="游ゴシック" w:eastAsia="游ゴシック" w:hAnsi="游ゴシック" w:hint="eastAsia"/>
          <w:b/>
        </w:rPr>
        <w:t>７</w:t>
      </w:r>
      <w:r w:rsidR="00B332B1" w:rsidRPr="00CA02AD">
        <w:rPr>
          <w:rFonts w:ascii="游ゴシック" w:eastAsia="游ゴシック" w:hAnsi="游ゴシック" w:hint="eastAsia"/>
          <w:b/>
        </w:rPr>
        <w:t xml:space="preserve">　住宅用地の範囲</w:t>
      </w:r>
    </w:p>
    <w:p w:rsidR="00B332B1" w:rsidRPr="00B332B1" w:rsidRDefault="00B332B1" w:rsidP="00B332B1">
      <w:pPr>
        <w:ind w:leftChars="100" w:left="210" w:firstLineChars="100" w:firstLine="210"/>
        <w:rPr>
          <w:rFonts w:ascii="游ゴシック" w:eastAsia="游ゴシック" w:hAnsi="游ゴシック"/>
        </w:rPr>
      </w:pPr>
      <w:r w:rsidRPr="00B332B1">
        <w:rPr>
          <w:rFonts w:ascii="游ゴシック" w:eastAsia="游ゴシック" w:hAnsi="游ゴシック" w:hint="eastAsia"/>
        </w:rPr>
        <w:t>特例措置の対象となる住宅用地の面積は</w:t>
      </w:r>
      <w:r w:rsidR="00A95D32">
        <w:rPr>
          <w:rFonts w:ascii="游ゴシック" w:eastAsia="游ゴシック" w:hAnsi="游ゴシック" w:hint="eastAsia"/>
        </w:rPr>
        <w:t>、</w:t>
      </w:r>
      <w:r w:rsidRPr="00B332B1">
        <w:rPr>
          <w:rFonts w:ascii="游ゴシック" w:eastAsia="游ゴシック" w:hAnsi="游ゴシック" w:hint="eastAsia"/>
        </w:rPr>
        <w:t>家屋の区分ごとに居住部分の割合に応じて定められた住宅用地の率を当該住宅の敷地面積に乗じて求めます。</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
        <w:gridCol w:w="2410"/>
        <w:gridCol w:w="2410"/>
        <w:gridCol w:w="1559"/>
      </w:tblGrid>
      <w:tr w:rsidR="00B332B1" w:rsidRPr="00B332B1" w:rsidTr="0043457E">
        <w:tc>
          <w:tcPr>
            <w:tcW w:w="872" w:type="dxa"/>
            <w:vAlign w:val="center"/>
          </w:tcPr>
          <w:p w:rsidR="00B332B1" w:rsidRPr="00B332B1" w:rsidRDefault="00B332B1" w:rsidP="0043457E">
            <w:pPr>
              <w:jc w:val="center"/>
              <w:rPr>
                <w:rFonts w:ascii="游ゴシック" w:eastAsia="游ゴシック" w:hAnsi="游ゴシック"/>
              </w:rPr>
            </w:pPr>
            <w:r w:rsidRPr="00B332B1">
              <w:rPr>
                <w:rFonts w:ascii="游ゴシック" w:eastAsia="游ゴシック" w:hAnsi="游ゴシック" w:hint="eastAsia"/>
              </w:rPr>
              <w:t>区分</w:t>
            </w:r>
          </w:p>
        </w:tc>
        <w:tc>
          <w:tcPr>
            <w:tcW w:w="2410" w:type="dxa"/>
            <w:vAlign w:val="center"/>
          </w:tcPr>
          <w:p w:rsidR="00B332B1" w:rsidRPr="00B332B1" w:rsidRDefault="0043457E" w:rsidP="0043457E">
            <w:pPr>
              <w:jc w:val="center"/>
              <w:rPr>
                <w:rFonts w:ascii="游ゴシック" w:eastAsia="游ゴシック" w:hAnsi="游ゴシック"/>
              </w:rPr>
            </w:pPr>
            <w:r>
              <w:rPr>
                <w:rFonts w:ascii="游ゴシック" w:eastAsia="游ゴシック" w:hAnsi="游ゴシック" w:hint="eastAsia"/>
              </w:rPr>
              <w:t>家</w:t>
            </w:r>
            <w:r w:rsidR="00B332B1" w:rsidRPr="00B332B1">
              <w:rPr>
                <w:rFonts w:ascii="游ゴシック" w:eastAsia="游ゴシック" w:hAnsi="游ゴシック" w:hint="eastAsia"/>
              </w:rPr>
              <w:t>屋</w:t>
            </w:r>
          </w:p>
        </w:tc>
        <w:tc>
          <w:tcPr>
            <w:tcW w:w="2410" w:type="dxa"/>
            <w:vAlign w:val="center"/>
          </w:tcPr>
          <w:p w:rsidR="00B332B1" w:rsidRPr="00B332B1" w:rsidRDefault="00B332B1" w:rsidP="0043457E">
            <w:pPr>
              <w:jc w:val="center"/>
              <w:rPr>
                <w:rFonts w:ascii="游ゴシック" w:eastAsia="游ゴシック" w:hAnsi="游ゴシック"/>
              </w:rPr>
            </w:pPr>
            <w:r w:rsidRPr="00B332B1">
              <w:rPr>
                <w:rFonts w:ascii="游ゴシック" w:eastAsia="游ゴシック" w:hAnsi="游ゴシック" w:hint="eastAsia"/>
              </w:rPr>
              <w:t>居住部分の割合</w:t>
            </w:r>
          </w:p>
        </w:tc>
        <w:tc>
          <w:tcPr>
            <w:tcW w:w="1559" w:type="dxa"/>
            <w:vAlign w:val="center"/>
          </w:tcPr>
          <w:p w:rsidR="00B332B1" w:rsidRPr="00B332B1" w:rsidRDefault="00B332B1" w:rsidP="0043457E">
            <w:pPr>
              <w:jc w:val="center"/>
              <w:rPr>
                <w:rFonts w:ascii="游ゴシック" w:eastAsia="游ゴシック" w:hAnsi="游ゴシック"/>
              </w:rPr>
            </w:pPr>
            <w:r w:rsidRPr="00B332B1">
              <w:rPr>
                <w:rFonts w:ascii="游ゴシック" w:eastAsia="游ゴシック" w:hAnsi="游ゴシック" w:hint="eastAsia"/>
              </w:rPr>
              <w:t>住宅用地の率</w:t>
            </w:r>
          </w:p>
        </w:tc>
      </w:tr>
      <w:tr w:rsidR="00B332B1" w:rsidRPr="00B332B1" w:rsidTr="0043457E">
        <w:tc>
          <w:tcPr>
            <w:tcW w:w="872" w:type="dxa"/>
            <w:vAlign w:val="center"/>
          </w:tcPr>
          <w:p w:rsidR="00B332B1" w:rsidRPr="00B332B1" w:rsidRDefault="00B332B1" w:rsidP="0043457E">
            <w:pPr>
              <w:jc w:val="center"/>
              <w:rPr>
                <w:rFonts w:ascii="游ゴシック" w:eastAsia="游ゴシック" w:hAnsi="游ゴシック"/>
              </w:rPr>
            </w:pPr>
            <w:r w:rsidRPr="00B332B1">
              <w:rPr>
                <w:rFonts w:ascii="游ゴシック" w:eastAsia="游ゴシック" w:hAnsi="游ゴシック" w:hint="eastAsia"/>
              </w:rPr>
              <w:t>ア</w:t>
            </w:r>
          </w:p>
        </w:tc>
        <w:tc>
          <w:tcPr>
            <w:tcW w:w="2410" w:type="dxa"/>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専用住宅</w:t>
            </w:r>
          </w:p>
        </w:tc>
        <w:tc>
          <w:tcPr>
            <w:tcW w:w="2410" w:type="dxa"/>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全　部</w:t>
            </w:r>
          </w:p>
        </w:tc>
        <w:tc>
          <w:tcPr>
            <w:tcW w:w="1559" w:type="dxa"/>
            <w:vAlign w:val="center"/>
          </w:tcPr>
          <w:p w:rsidR="00B332B1" w:rsidRPr="00B332B1" w:rsidRDefault="00B332B1" w:rsidP="005A2EAB">
            <w:pPr>
              <w:jc w:val="center"/>
              <w:rPr>
                <w:rFonts w:ascii="游ゴシック" w:eastAsia="游ゴシック" w:hAnsi="游ゴシック"/>
              </w:rPr>
            </w:pPr>
            <w:r w:rsidRPr="00B332B1">
              <w:rPr>
                <w:rFonts w:ascii="游ゴシック" w:eastAsia="游ゴシック" w:hAnsi="游ゴシック" w:hint="eastAsia"/>
              </w:rPr>
              <w:t>１．０</w:t>
            </w:r>
          </w:p>
        </w:tc>
      </w:tr>
      <w:tr w:rsidR="00B332B1" w:rsidRPr="00B332B1" w:rsidTr="0043457E">
        <w:trPr>
          <w:cantSplit/>
        </w:trPr>
        <w:tc>
          <w:tcPr>
            <w:tcW w:w="872" w:type="dxa"/>
            <w:vMerge w:val="restart"/>
            <w:vAlign w:val="center"/>
          </w:tcPr>
          <w:p w:rsidR="00B332B1" w:rsidRPr="00B332B1" w:rsidRDefault="00B332B1" w:rsidP="0043457E">
            <w:pPr>
              <w:jc w:val="center"/>
              <w:rPr>
                <w:rFonts w:ascii="游ゴシック" w:eastAsia="游ゴシック" w:hAnsi="游ゴシック"/>
              </w:rPr>
            </w:pPr>
            <w:r w:rsidRPr="00B332B1">
              <w:rPr>
                <w:rFonts w:ascii="游ゴシック" w:eastAsia="游ゴシック" w:hAnsi="游ゴシック" w:hint="eastAsia"/>
              </w:rPr>
              <w:t>イ</w:t>
            </w:r>
          </w:p>
        </w:tc>
        <w:tc>
          <w:tcPr>
            <w:tcW w:w="2410" w:type="dxa"/>
            <w:vMerge w:val="restart"/>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ウ以外の併用住宅</w:t>
            </w:r>
          </w:p>
        </w:tc>
        <w:tc>
          <w:tcPr>
            <w:tcW w:w="2410" w:type="dxa"/>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１／４以上１／２未満</w:t>
            </w:r>
          </w:p>
        </w:tc>
        <w:tc>
          <w:tcPr>
            <w:tcW w:w="1559" w:type="dxa"/>
            <w:vAlign w:val="center"/>
          </w:tcPr>
          <w:p w:rsidR="00B332B1" w:rsidRPr="00B332B1" w:rsidRDefault="00B332B1" w:rsidP="005A2EAB">
            <w:pPr>
              <w:jc w:val="center"/>
              <w:rPr>
                <w:rFonts w:ascii="游ゴシック" w:eastAsia="游ゴシック" w:hAnsi="游ゴシック"/>
              </w:rPr>
            </w:pPr>
            <w:r w:rsidRPr="00B332B1">
              <w:rPr>
                <w:rFonts w:ascii="游ゴシック" w:eastAsia="游ゴシック" w:hAnsi="游ゴシック" w:hint="eastAsia"/>
              </w:rPr>
              <w:t>０．５</w:t>
            </w:r>
          </w:p>
        </w:tc>
      </w:tr>
      <w:tr w:rsidR="00B332B1" w:rsidRPr="00B332B1" w:rsidTr="0043457E">
        <w:trPr>
          <w:cantSplit/>
        </w:trPr>
        <w:tc>
          <w:tcPr>
            <w:tcW w:w="872" w:type="dxa"/>
            <w:vMerge/>
            <w:vAlign w:val="center"/>
          </w:tcPr>
          <w:p w:rsidR="00B332B1" w:rsidRPr="00B332B1" w:rsidRDefault="00B332B1" w:rsidP="0043457E">
            <w:pPr>
              <w:jc w:val="center"/>
              <w:rPr>
                <w:rFonts w:ascii="游ゴシック" w:eastAsia="游ゴシック" w:hAnsi="游ゴシック"/>
              </w:rPr>
            </w:pPr>
          </w:p>
        </w:tc>
        <w:tc>
          <w:tcPr>
            <w:tcW w:w="2410" w:type="dxa"/>
            <w:vMerge/>
            <w:vAlign w:val="center"/>
          </w:tcPr>
          <w:p w:rsidR="00B332B1" w:rsidRPr="00B332B1" w:rsidRDefault="00B332B1" w:rsidP="00B332B1">
            <w:pPr>
              <w:rPr>
                <w:rFonts w:ascii="游ゴシック" w:eastAsia="游ゴシック" w:hAnsi="游ゴシック"/>
              </w:rPr>
            </w:pPr>
          </w:p>
        </w:tc>
        <w:tc>
          <w:tcPr>
            <w:tcW w:w="2410" w:type="dxa"/>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１／２以上</w:t>
            </w:r>
          </w:p>
        </w:tc>
        <w:tc>
          <w:tcPr>
            <w:tcW w:w="1559" w:type="dxa"/>
            <w:vAlign w:val="center"/>
          </w:tcPr>
          <w:p w:rsidR="00B332B1" w:rsidRPr="00B332B1" w:rsidRDefault="00B332B1" w:rsidP="005A2EAB">
            <w:pPr>
              <w:jc w:val="center"/>
              <w:rPr>
                <w:rFonts w:ascii="游ゴシック" w:eastAsia="游ゴシック" w:hAnsi="游ゴシック"/>
              </w:rPr>
            </w:pPr>
            <w:r w:rsidRPr="00B332B1">
              <w:rPr>
                <w:rFonts w:ascii="游ゴシック" w:eastAsia="游ゴシック" w:hAnsi="游ゴシック" w:hint="eastAsia"/>
              </w:rPr>
              <w:t>１．０</w:t>
            </w:r>
          </w:p>
        </w:tc>
      </w:tr>
      <w:tr w:rsidR="00B332B1" w:rsidRPr="00B332B1" w:rsidTr="0043457E">
        <w:trPr>
          <w:cantSplit/>
        </w:trPr>
        <w:tc>
          <w:tcPr>
            <w:tcW w:w="872" w:type="dxa"/>
            <w:vMerge w:val="restart"/>
            <w:vAlign w:val="center"/>
          </w:tcPr>
          <w:p w:rsidR="00B332B1" w:rsidRPr="00B332B1" w:rsidRDefault="00B332B1" w:rsidP="0043457E">
            <w:pPr>
              <w:jc w:val="center"/>
              <w:rPr>
                <w:rFonts w:ascii="游ゴシック" w:eastAsia="游ゴシック" w:hAnsi="游ゴシック"/>
              </w:rPr>
            </w:pPr>
            <w:r w:rsidRPr="00B332B1">
              <w:rPr>
                <w:rFonts w:ascii="游ゴシック" w:eastAsia="游ゴシック" w:hAnsi="游ゴシック" w:hint="eastAsia"/>
              </w:rPr>
              <w:t>ウ</w:t>
            </w:r>
          </w:p>
        </w:tc>
        <w:tc>
          <w:tcPr>
            <w:tcW w:w="2410" w:type="dxa"/>
            <w:vMerge w:val="restart"/>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地上５階以上の耐火</w:t>
            </w:r>
          </w:p>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建築物である併用住宅</w:t>
            </w:r>
          </w:p>
        </w:tc>
        <w:tc>
          <w:tcPr>
            <w:tcW w:w="2410" w:type="dxa"/>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１／４以上１／２未満</w:t>
            </w:r>
          </w:p>
        </w:tc>
        <w:tc>
          <w:tcPr>
            <w:tcW w:w="1559" w:type="dxa"/>
            <w:vAlign w:val="center"/>
          </w:tcPr>
          <w:p w:rsidR="00B332B1" w:rsidRPr="00B332B1" w:rsidRDefault="00B332B1" w:rsidP="005A2EAB">
            <w:pPr>
              <w:jc w:val="center"/>
              <w:rPr>
                <w:rFonts w:ascii="游ゴシック" w:eastAsia="游ゴシック" w:hAnsi="游ゴシック"/>
              </w:rPr>
            </w:pPr>
            <w:r w:rsidRPr="00B332B1">
              <w:rPr>
                <w:rFonts w:ascii="游ゴシック" w:eastAsia="游ゴシック" w:hAnsi="游ゴシック" w:hint="eastAsia"/>
              </w:rPr>
              <w:t>０．５</w:t>
            </w:r>
          </w:p>
        </w:tc>
      </w:tr>
      <w:tr w:rsidR="00B332B1" w:rsidRPr="00B332B1" w:rsidTr="0043457E">
        <w:trPr>
          <w:cantSplit/>
        </w:trPr>
        <w:tc>
          <w:tcPr>
            <w:tcW w:w="872" w:type="dxa"/>
            <w:vMerge/>
            <w:vAlign w:val="center"/>
          </w:tcPr>
          <w:p w:rsidR="00B332B1" w:rsidRPr="00B332B1" w:rsidRDefault="00B332B1" w:rsidP="00B332B1">
            <w:pPr>
              <w:rPr>
                <w:rFonts w:ascii="游ゴシック" w:eastAsia="游ゴシック" w:hAnsi="游ゴシック"/>
              </w:rPr>
            </w:pPr>
          </w:p>
        </w:tc>
        <w:tc>
          <w:tcPr>
            <w:tcW w:w="2410" w:type="dxa"/>
            <w:vMerge/>
            <w:vAlign w:val="center"/>
          </w:tcPr>
          <w:p w:rsidR="00B332B1" w:rsidRPr="00B332B1" w:rsidRDefault="00B332B1" w:rsidP="00B332B1">
            <w:pPr>
              <w:rPr>
                <w:rFonts w:ascii="游ゴシック" w:eastAsia="游ゴシック" w:hAnsi="游ゴシック"/>
              </w:rPr>
            </w:pPr>
          </w:p>
        </w:tc>
        <w:tc>
          <w:tcPr>
            <w:tcW w:w="2410" w:type="dxa"/>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１／２以上３／４未満</w:t>
            </w:r>
          </w:p>
        </w:tc>
        <w:tc>
          <w:tcPr>
            <w:tcW w:w="1559" w:type="dxa"/>
            <w:vAlign w:val="center"/>
          </w:tcPr>
          <w:p w:rsidR="00B332B1" w:rsidRPr="00B332B1" w:rsidRDefault="00B332B1" w:rsidP="005A2EAB">
            <w:pPr>
              <w:jc w:val="center"/>
              <w:rPr>
                <w:rFonts w:ascii="游ゴシック" w:eastAsia="游ゴシック" w:hAnsi="游ゴシック"/>
              </w:rPr>
            </w:pPr>
            <w:r w:rsidRPr="00B332B1">
              <w:rPr>
                <w:rFonts w:ascii="游ゴシック" w:eastAsia="游ゴシック" w:hAnsi="游ゴシック" w:hint="eastAsia"/>
              </w:rPr>
              <w:t>０．７５</w:t>
            </w:r>
          </w:p>
        </w:tc>
      </w:tr>
      <w:tr w:rsidR="00B332B1" w:rsidRPr="00B332B1" w:rsidTr="0043457E">
        <w:trPr>
          <w:cantSplit/>
        </w:trPr>
        <w:tc>
          <w:tcPr>
            <w:tcW w:w="872" w:type="dxa"/>
            <w:vMerge/>
            <w:vAlign w:val="center"/>
          </w:tcPr>
          <w:p w:rsidR="00B332B1" w:rsidRPr="00B332B1" w:rsidRDefault="00B332B1" w:rsidP="00B332B1">
            <w:pPr>
              <w:rPr>
                <w:rFonts w:ascii="游ゴシック" w:eastAsia="游ゴシック" w:hAnsi="游ゴシック"/>
              </w:rPr>
            </w:pPr>
          </w:p>
        </w:tc>
        <w:tc>
          <w:tcPr>
            <w:tcW w:w="2410" w:type="dxa"/>
            <w:vMerge/>
            <w:vAlign w:val="center"/>
          </w:tcPr>
          <w:p w:rsidR="00B332B1" w:rsidRPr="00B332B1" w:rsidRDefault="00B332B1" w:rsidP="00B332B1">
            <w:pPr>
              <w:rPr>
                <w:rFonts w:ascii="游ゴシック" w:eastAsia="游ゴシック" w:hAnsi="游ゴシック"/>
              </w:rPr>
            </w:pPr>
          </w:p>
        </w:tc>
        <w:tc>
          <w:tcPr>
            <w:tcW w:w="2410" w:type="dxa"/>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３／４以上</w:t>
            </w:r>
          </w:p>
        </w:tc>
        <w:tc>
          <w:tcPr>
            <w:tcW w:w="1559" w:type="dxa"/>
            <w:vAlign w:val="center"/>
          </w:tcPr>
          <w:p w:rsidR="00B332B1" w:rsidRPr="00B332B1" w:rsidRDefault="00B332B1" w:rsidP="005A2EAB">
            <w:pPr>
              <w:jc w:val="center"/>
              <w:rPr>
                <w:rFonts w:ascii="游ゴシック" w:eastAsia="游ゴシック" w:hAnsi="游ゴシック"/>
              </w:rPr>
            </w:pPr>
            <w:r w:rsidRPr="00B332B1">
              <w:rPr>
                <w:rFonts w:ascii="游ゴシック" w:eastAsia="游ゴシック" w:hAnsi="游ゴシック" w:hint="eastAsia"/>
              </w:rPr>
              <w:t>１．０</w:t>
            </w:r>
          </w:p>
        </w:tc>
      </w:tr>
    </w:tbl>
    <w:p w:rsidR="00B332B1" w:rsidRPr="00CA02AD" w:rsidRDefault="001C14C3" w:rsidP="005C43C0">
      <w:pPr>
        <w:spacing w:beforeLines="50" w:before="180"/>
        <w:rPr>
          <w:rFonts w:ascii="游ゴシック" w:eastAsia="游ゴシック" w:hAnsi="游ゴシック"/>
          <w:b/>
        </w:rPr>
      </w:pPr>
      <w:r w:rsidRPr="00CA02AD">
        <w:rPr>
          <w:rFonts w:ascii="游ゴシック" w:eastAsia="游ゴシック" w:hAnsi="游ゴシック" w:hint="eastAsia"/>
          <w:b/>
        </w:rPr>
        <w:t>８</w:t>
      </w:r>
      <w:r w:rsidR="0043457E" w:rsidRPr="00CA02AD">
        <w:rPr>
          <w:rFonts w:ascii="游ゴシック" w:eastAsia="游ゴシック" w:hAnsi="游ゴシック" w:hint="eastAsia"/>
          <w:b/>
        </w:rPr>
        <w:t xml:space="preserve">　課税標準の特例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3"/>
        <w:gridCol w:w="4033"/>
        <w:gridCol w:w="3465"/>
      </w:tblGrid>
      <w:tr w:rsidR="0043457E" w:rsidRPr="0043457E" w:rsidTr="009A2B96">
        <w:trPr>
          <w:cantSplit/>
        </w:trPr>
        <w:tc>
          <w:tcPr>
            <w:tcW w:w="5236" w:type="dxa"/>
            <w:gridSpan w:val="2"/>
            <w:vAlign w:val="center"/>
          </w:tcPr>
          <w:p w:rsidR="0043457E" w:rsidRPr="0043457E" w:rsidRDefault="0043457E" w:rsidP="0043457E">
            <w:pPr>
              <w:jc w:val="center"/>
              <w:rPr>
                <w:rFonts w:ascii="游ゴシック" w:eastAsia="游ゴシック" w:hAnsi="游ゴシック"/>
              </w:rPr>
            </w:pPr>
            <w:r>
              <w:rPr>
                <w:rFonts w:ascii="游ゴシック" w:eastAsia="游ゴシック" w:hAnsi="游ゴシック" w:hint="eastAsia"/>
              </w:rPr>
              <w:t>区</w:t>
            </w:r>
            <w:r w:rsidRPr="0043457E">
              <w:rPr>
                <w:rFonts w:ascii="游ゴシック" w:eastAsia="游ゴシック" w:hAnsi="游ゴシック" w:hint="eastAsia"/>
              </w:rPr>
              <w:t>分</w:t>
            </w:r>
          </w:p>
        </w:tc>
        <w:tc>
          <w:tcPr>
            <w:tcW w:w="3494" w:type="dxa"/>
            <w:vAlign w:val="center"/>
          </w:tcPr>
          <w:p w:rsidR="0043457E" w:rsidRPr="0043457E" w:rsidRDefault="0043457E" w:rsidP="0043457E">
            <w:pPr>
              <w:jc w:val="center"/>
              <w:rPr>
                <w:rFonts w:ascii="游ゴシック" w:eastAsia="游ゴシック" w:hAnsi="游ゴシック"/>
              </w:rPr>
            </w:pPr>
            <w:r w:rsidRPr="0043457E">
              <w:rPr>
                <w:rFonts w:ascii="游ゴシック" w:eastAsia="游ゴシック" w:hAnsi="游ゴシック" w:hint="eastAsia"/>
              </w:rPr>
              <w:t>課税標準額</w:t>
            </w:r>
          </w:p>
        </w:tc>
      </w:tr>
      <w:tr w:rsidR="0043457E" w:rsidRPr="0043457E" w:rsidTr="009A2B96">
        <w:tc>
          <w:tcPr>
            <w:tcW w:w="1170" w:type="dxa"/>
            <w:vAlign w:val="center"/>
          </w:tcPr>
          <w:p w:rsidR="0043457E" w:rsidRPr="0043457E" w:rsidRDefault="0043457E" w:rsidP="0043457E">
            <w:pPr>
              <w:jc w:val="center"/>
              <w:rPr>
                <w:rFonts w:ascii="游ゴシック" w:eastAsia="游ゴシック" w:hAnsi="游ゴシック"/>
              </w:rPr>
            </w:pPr>
            <w:r w:rsidRPr="0043457E">
              <w:rPr>
                <w:rFonts w:ascii="游ゴシック" w:eastAsia="游ゴシック" w:hAnsi="游ゴシック" w:hint="eastAsia"/>
              </w:rPr>
              <w:t>小規模</w:t>
            </w:r>
          </w:p>
          <w:p w:rsidR="0043457E" w:rsidRPr="0043457E" w:rsidRDefault="0043457E" w:rsidP="0043457E">
            <w:pPr>
              <w:jc w:val="center"/>
              <w:rPr>
                <w:rFonts w:ascii="游ゴシック" w:eastAsia="游ゴシック" w:hAnsi="游ゴシック"/>
              </w:rPr>
            </w:pPr>
            <w:r w:rsidRPr="0043457E">
              <w:rPr>
                <w:rFonts w:ascii="游ゴシック" w:eastAsia="游ゴシック" w:hAnsi="游ゴシック" w:hint="eastAsia"/>
              </w:rPr>
              <w:t>住宅用地</w:t>
            </w:r>
          </w:p>
        </w:tc>
        <w:tc>
          <w:tcPr>
            <w:tcW w:w="4066" w:type="dxa"/>
            <w:vAlign w:val="center"/>
          </w:tcPr>
          <w:p w:rsidR="0043457E" w:rsidRPr="0043457E" w:rsidRDefault="0043457E" w:rsidP="0043457E">
            <w:pPr>
              <w:rPr>
                <w:rFonts w:ascii="游ゴシック" w:eastAsia="游ゴシック" w:hAnsi="游ゴシック"/>
              </w:rPr>
            </w:pPr>
            <w:r w:rsidRPr="0043457E">
              <w:rPr>
                <w:rFonts w:ascii="游ゴシック" w:eastAsia="游ゴシック" w:hAnsi="游ゴシック" w:hint="eastAsia"/>
              </w:rPr>
              <w:t>２００㎡以下の住宅用地（</w:t>
            </w:r>
            <w:r w:rsidR="005A2EAB">
              <w:rPr>
                <w:rFonts w:ascii="游ゴシック" w:eastAsia="游ゴシック" w:hAnsi="游ゴシック" w:hint="eastAsia"/>
              </w:rPr>
              <w:t>住居の数１</w:t>
            </w:r>
            <w:r w:rsidRPr="0043457E">
              <w:rPr>
                <w:rFonts w:ascii="游ゴシック" w:eastAsia="游ゴシック" w:hAnsi="游ゴシック" w:hint="eastAsia"/>
              </w:rPr>
              <w:t>当たり２００㎡までの部分）</w:t>
            </w:r>
          </w:p>
        </w:tc>
        <w:tc>
          <w:tcPr>
            <w:tcW w:w="3494" w:type="dxa"/>
            <w:vAlign w:val="center"/>
          </w:tcPr>
          <w:p w:rsidR="0043457E" w:rsidRPr="0043457E" w:rsidRDefault="0043457E" w:rsidP="0043457E">
            <w:pPr>
              <w:rPr>
                <w:rFonts w:ascii="游ゴシック" w:eastAsia="游ゴシック" w:hAnsi="游ゴシック"/>
              </w:rPr>
            </w:pPr>
            <w:r w:rsidRPr="0043457E">
              <w:rPr>
                <w:rFonts w:ascii="游ゴシック" w:eastAsia="游ゴシック" w:hAnsi="游ゴシック" w:hint="eastAsia"/>
              </w:rPr>
              <w:t>固定資産税 ⇒ 評価額×１／６</w:t>
            </w:r>
          </w:p>
          <w:p w:rsidR="0043457E" w:rsidRPr="0043457E" w:rsidRDefault="0043457E" w:rsidP="0043457E">
            <w:pPr>
              <w:rPr>
                <w:rFonts w:ascii="游ゴシック" w:eastAsia="游ゴシック" w:hAnsi="游ゴシック"/>
              </w:rPr>
            </w:pPr>
            <w:r w:rsidRPr="0043457E">
              <w:rPr>
                <w:rFonts w:ascii="游ゴシック" w:eastAsia="游ゴシック" w:hAnsi="游ゴシック" w:hint="eastAsia"/>
              </w:rPr>
              <w:t>都市計画税 ⇒ 評価額×１／３</w:t>
            </w:r>
          </w:p>
        </w:tc>
      </w:tr>
      <w:tr w:rsidR="0043457E" w:rsidRPr="0043457E" w:rsidTr="009A2B96">
        <w:tc>
          <w:tcPr>
            <w:tcW w:w="1170" w:type="dxa"/>
            <w:vAlign w:val="center"/>
          </w:tcPr>
          <w:p w:rsidR="0043457E" w:rsidRPr="0043457E" w:rsidRDefault="0043457E" w:rsidP="0043457E">
            <w:pPr>
              <w:jc w:val="center"/>
              <w:rPr>
                <w:rFonts w:ascii="游ゴシック" w:eastAsia="游ゴシック" w:hAnsi="游ゴシック"/>
              </w:rPr>
            </w:pPr>
            <w:r>
              <w:rPr>
                <w:rFonts w:ascii="游ゴシック" w:eastAsia="游ゴシック" w:hAnsi="游ゴシック" w:hint="eastAsia"/>
              </w:rPr>
              <w:t>一般</w:t>
            </w:r>
          </w:p>
          <w:p w:rsidR="0043457E" w:rsidRPr="0043457E" w:rsidRDefault="0043457E" w:rsidP="0043457E">
            <w:pPr>
              <w:jc w:val="center"/>
              <w:rPr>
                <w:rFonts w:ascii="游ゴシック" w:eastAsia="游ゴシック" w:hAnsi="游ゴシック"/>
              </w:rPr>
            </w:pPr>
            <w:r w:rsidRPr="0043457E">
              <w:rPr>
                <w:rFonts w:ascii="游ゴシック" w:eastAsia="游ゴシック" w:hAnsi="游ゴシック" w:hint="eastAsia"/>
              </w:rPr>
              <w:t>住宅用地</w:t>
            </w:r>
          </w:p>
        </w:tc>
        <w:tc>
          <w:tcPr>
            <w:tcW w:w="4066" w:type="dxa"/>
            <w:vAlign w:val="center"/>
          </w:tcPr>
          <w:p w:rsidR="0043457E" w:rsidRPr="0043457E" w:rsidRDefault="0043457E" w:rsidP="005A2EAB">
            <w:pPr>
              <w:rPr>
                <w:rFonts w:ascii="游ゴシック" w:eastAsia="游ゴシック" w:hAnsi="游ゴシック"/>
              </w:rPr>
            </w:pPr>
            <w:r w:rsidRPr="0043457E">
              <w:rPr>
                <w:rFonts w:ascii="游ゴシック" w:eastAsia="游ゴシック" w:hAnsi="游ゴシック" w:hint="eastAsia"/>
              </w:rPr>
              <w:t>小規模住宅用地以外の住宅用地（</w:t>
            </w:r>
            <w:r w:rsidR="005A2EAB">
              <w:rPr>
                <w:rFonts w:ascii="游ゴシック" w:eastAsia="游ゴシック" w:hAnsi="游ゴシック" w:hint="eastAsia"/>
              </w:rPr>
              <w:t>住居の数１</w:t>
            </w:r>
            <w:r w:rsidRPr="0043457E">
              <w:rPr>
                <w:rFonts w:ascii="游ゴシック" w:eastAsia="游ゴシック" w:hAnsi="游ゴシック" w:hint="eastAsia"/>
              </w:rPr>
              <w:t>当たり２００㎡を超える部分）</w:t>
            </w:r>
          </w:p>
        </w:tc>
        <w:tc>
          <w:tcPr>
            <w:tcW w:w="3494" w:type="dxa"/>
            <w:vAlign w:val="center"/>
          </w:tcPr>
          <w:p w:rsidR="0043457E" w:rsidRPr="0043457E" w:rsidRDefault="0043457E" w:rsidP="0043457E">
            <w:pPr>
              <w:rPr>
                <w:rFonts w:ascii="游ゴシック" w:eastAsia="游ゴシック" w:hAnsi="游ゴシック"/>
              </w:rPr>
            </w:pPr>
            <w:r w:rsidRPr="0043457E">
              <w:rPr>
                <w:rFonts w:ascii="游ゴシック" w:eastAsia="游ゴシック" w:hAnsi="游ゴシック" w:hint="eastAsia"/>
              </w:rPr>
              <w:t>固定資産税 ⇒ 評価額×１／３</w:t>
            </w:r>
          </w:p>
          <w:p w:rsidR="0043457E" w:rsidRPr="0043457E" w:rsidRDefault="0043457E" w:rsidP="0043457E">
            <w:pPr>
              <w:rPr>
                <w:rFonts w:ascii="游ゴシック" w:eastAsia="游ゴシック" w:hAnsi="游ゴシック"/>
              </w:rPr>
            </w:pPr>
            <w:r w:rsidRPr="0043457E">
              <w:rPr>
                <w:rFonts w:ascii="游ゴシック" w:eastAsia="游ゴシック" w:hAnsi="游ゴシック" w:hint="eastAsia"/>
              </w:rPr>
              <w:t>都市計画税 ⇒ 評価額×２／３</w:t>
            </w:r>
          </w:p>
        </w:tc>
      </w:tr>
    </w:tbl>
    <w:p w:rsidR="005C43C0" w:rsidRDefault="005C43C0" w:rsidP="007C3545">
      <w:pPr>
        <w:rPr>
          <w:rFonts w:ascii="游ゴシック" w:eastAsia="游ゴシック" w:hAnsi="游ゴシック"/>
        </w:rPr>
      </w:pPr>
    </w:p>
    <w:p w:rsidR="005C43C0" w:rsidRPr="00C02C54" w:rsidRDefault="005C43C0" w:rsidP="007C3545">
      <w:pPr>
        <w:rPr>
          <w:rFonts w:ascii="游ゴシック" w:eastAsia="游ゴシック" w:hAnsi="游ゴシック"/>
          <w:b/>
        </w:rPr>
      </w:pPr>
      <w:r w:rsidRPr="00C02C54">
        <w:rPr>
          <w:rFonts w:ascii="游ゴシック" w:eastAsia="游ゴシック" w:hAnsi="游ゴシック" w:hint="eastAsia"/>
          <w:b/>
        </w:rPr>
        <w:t>９　問合せ先</w:t>
      </w:r>
    </w:p>
    <w:p w:rsidR="004420C9" w:rsidRDefault="004420C9" w:rsidP="004420C9">
      <w:pPr>
        <w:ind w:leftChars="100" w:left="210"/>
        <w:rPr>
          <w:rFonts w:ascii="游ゴシック" w:eastAsia="游ゴシック" w:hAnsi="游ゴシック"/>
        </w:rPr>
      </w:pPr>
      <w:r>
        <w:rPr>
          <w:rFonts w:ascii="游ゴシック" w:eastAsia="游ゴシック" w:hAnsi="游ゴシック" w:hint="eastAsia"/>
        </w:rPr>
        <w:t xml:space="preserve">(1)　</w:t>
      </w:r>
      <w:r w:rsidRPr="00C02C54">
        <w:rPr>
          <w:rFonts w:ascii="游ゴシック" w:eastAsia="游ゴシック" w:hAnsi="游ゴシック" w:hint="eastAsia"/>
          <w:spacing w:val="105"/>
          <w:kern w:val="0"/>
          <w:fitText w:val="630" w:id="-883168768"/>
        </w:rPr>
        <w:t>所</w:t>
      </w:r>
      <w:r w:rsidRPr="00C02C54">
        <w:rPr>
          <w:rFonts w:ascii="游ゴシック" w:eastAsia="游ゴシック" w:hAnsi="游ゴシック" w:hint="eastAsia"/>
          <w:kern w:val="0"/>
          <w:fitText w:val="630" w:id="-883168768"/>
        </w:rPr>
        <w:t>属</w:t>
      </w:r>
      <w:r>
        <w:rPr>
          <w:rFonts w:ascii="游ゴシック" w:eastAsia="游ゴシック" w:hAnsi="游ゴシック" w:hint="eastAsia"/>
        </w:rPr>
        <w:t>：福山市企画財政局税務部資産税課</w:t>
      </w:r>
    </w:p>
    <w:p w:rsidR="001C14C3" w:rsidRDefault="004420C9" w:rsidP="004420C9">
      <w:pPr>
        <w:ind w:leftChars="100" w:left="210"/>
        <w:rPr>
          <w:rFonts w:ascii="游ゴシック" w:eastAsia="游ゴシック" w:hAnsi="游ゴシック"/>
        </w:rPr>
      </w:pPr>
      <w:r>
        <w:rPr>
          <w:rFonts w:ascii="游ゴシック" w:eastAsia="游ゴシック" w:hAnsi="游ゴシック" w:hint="eastAsia"/>
        </w:rPr>
        <w:t xml:space="preserve">(2)　</w:t>
      </w:r>
      <w:r w:rsidRPr="00C02C54">
        <w:rPr>
          <w:rFonts w:ascii="游ゴシック" w:eastAsia="游ゴシック" w:hAnsi="游ゴシック" w:hint="eastAsia"/>
          <w:spacing w:val="105"/>
          <w:kern w:val="0"/>
          <w:fitText w:val="630" w:id="-883168767"/>
        </w:rPr>
        <w:t>担</w:t>
      </w:r>
      <w:r w:rsidRPr="00C02C54">
        <w:rPr>
          <w:rFonts w:ascii="游ゴシック" w:eastAsia="游ゴシック" w:hAnsi="游ゴシック" w:hint="eastAsia"/>
          <w:kern w:val="0"/>
          <w:fitText w:val="630" w:id="-883168767"/>
        </w:rPr>
        <w:t>当</w:t>
      </w:r>
      <w:r>
        <w:rPr>
          <w:rFonts w:ascii="游ゴシック" w:eastAsia="游ゴシック" w:hAnsi="游ゴシック" w:hint="eastAsia"/>
        </w:rPr>
        <w:t>：土地第</w:t>
      </w:r>
      <w:r w:rsidR="007F1046">
        <w:rPr>
          <w:rFonts w:ascii="游ゴシック" w:eastAsia="游ゴシック" w:hAnsi="游ゴシック" w:hint="eastAsia"/>
        </w:rPr>
        <w:t>１</w:t>
      </w:r>
      <w:r>
        <w:rPr>
          <w:rFonts w:ascii="游ゴシック" w:eastAsia="游ゴシック" w:hAnsi="游ゴシック" w:hint="eastAsia"/>
        </w:rPr>
        <w:t>担当</w:t>
      </w:r>
      <w:r w:rsidR="000C0CF8">
        <w:rPr>
          <w:rFonts w:ascii="游ゴシック" w:eastAsia="游ゴシック" w:hAnsi="游ゴシック" w:hint="eastAsia"/>
        </w:rPr>
        <w:t>・</w:t>
      </w:r>
      <w:r w:rsidR="007F1046">
        <w:rPr>
          <w:rFonts w:ascii="游ゴシック" w:eastAsia="游ゴシック" w:hAnsi="游ゴシック" w:hint="eastAsia"/>
        </w:rPr>
        <w:t>土地第2担当</w:t>
      </w:r>
    </w:p>
    <w:p w:rsidR="004420C9" w:rsidRPr="0043457E" w:rsidRDefault="004420C9" w:rsidP="004420C9">
      <w:pPr>
        <w:ind w:leftChars="100" w:left="210"/>
        <w:rPr>
          <w:rFonts w:ascii="游ゴシック" w:eastAsia="游ゴシック" w:hAnsi="游ゴシック"/>
        </w:rPr>
      </w:pPr>
      <w:r>
        <w:rPr>
          <w:rFonts w:ascii="游ゴシック" w:eastAsia="游ゴシック" w:hAnsi="游ゴシック" w:hint="eastAsia"/>
        </w:rPr>
        <w:t>(3)　連絡先：</w:t>
      </w:r>
      <w:r w:rsidR="000C0CF8">
        <w:rPr>
          <w:rFonts w:ascii="游ゴシック" w:eastAsia="游ゴシック" w:hAnsi="游ゴシック" w:hint="eastAsia"/>
        </w:rPr>
        <w:t>０８４－９２８－１０２４・１０２６</w:t>
      </w:r>
    </w:p>
    <w:sectPr w:rsidR="004420C9" w:rsidRPr="0043457E" w:rsidSect="008D5618">
      <w:pgSz w:w="11906" w:h="16838"/>
      <w:pgMar w:top="1134" w:right="1418" w:bottom="85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618" w:rsidRDefault="008D5618" w:rsidP="008D5618">
      <w:r>
        <w:separator/>
      </w:r>
    </w:p>
  </w:endnote>
  <w:endnote w:type="continuationSeparator" w:id="0">
    <w:p w:rsidR="008D5618" w:rsidRDefault="008D5618" w:rsidP="008D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618" w:rsidRDefault="008D5618" w:rsidP="008D5618">
      <w:r>
        <w:separator/>
      </w:r>
    </w:p>
  </w:footnote>
  <w:footnote w:type="continuationSeparator" w:id="0">
    <w:p w:rsidR="008D5618" w:rsidRDefault="008D5618" w:rsidP="008D5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F5D"/>
    <w:rsid w:val="000C0CF8"/>
    <w:rsid w:val="000C0EBE"/>
    <w:rsid w:val="001A3AF8"/>
    <w:rsid w:val="001C14C3"/>
    <w:rsid w:val="00233777"/>
    <w:rsid w:val="00242ACE"/>
    <w:rsid w:val="002A7028"/>
    <w:rsid w:val="0043457E"/>
    <w:rsid w:val="004420C9"/>
    <w:rsid w:val="00442A61"/>
    <w:rsid w:val="0049754C"/>
    <w:rsid w:val="004E5150"/>
    <w:rsid w:val="0052443E"/>
    <w:rsid w:val="00535318"/>
    <w:rsid w:val="00566898"/>
    <w:rsid w:val="005A2EAB"/>
    <w:rsid w:val="005C43C0"/>
    <w:rsid w:val="005F76DE"/>
    <w:rsid w:val="006069AA"/>
    <w:rsid w:val="00735C26"/>
    <w:rsid w:val="007671A5"/>
    <w:rsid w:val="007C3545"/>
    <w:rsid w:val="007F1046"/>
    <w:rsid w:val="00803A34"/>
    <w:rsid w:val="00806F01"/>
    <w:rsid w:val="00863FF4"/>
    <w:rsid w:val="008B7E0C"/>
    <w:rsid w:val="008D5618"/>
    <w:rsid w:val="008F0EF3"/>
    <w:rsid w:val="00954C5D"/>
    <w:rsid w:val="009B01C7"/>
    <w:rsid w:val="00A031BB"/>
    <w:rsid w:val="00A85F5D"/>
    <w:rsid w:val="00A95D32"/>
    <w:rsid w:val="00AC09F9"/>
    <w:rsid w:val="00B332B1"/>
    <w:rsid w:val="00B943A1"/>
    <w:rsid w:val="00BD17E1"/>
    <w:rsid w:val="00C02C54"/>
    <w:rsid w:val="00C50A2B"/>
    <w:rsid w:val="00C87570"/>
    <w:rsid w:val="00CA02AD"/>
    <w:rsid w:val="00D7511D"/>
    <w:rsid w:val="00E3116F"/>
    <w:rsid w:val="00E66C1D"/>
    <w:rsid w:val="00E75BD5"/>
    <w:rsid w:val="00EC775C"/>
    <w:rsid w:val="00F07C1A"/>
    <w:rsid w:val="00F469EB"/>
    <w:rsid w:val="00F5679E"/>
    <w:rsid w:val="00FB6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DF2D8CED-BABD-4104-8438-DD7D9F06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7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56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5618"/>
    <w:rPr>
      <w:rFonts w:asciiTheme="majorHAnsi" w:eastAsiaTheme="majorEastAsia" w:hAnsiTheme="majorHAnsi" w:cstheme="majorBidi"/>
      <w:sz w:val="18"/>
      <w:szCs w:val="18"/>
    </w:rPr>
  </w:style>
  <w:style w:type="paragraph" w:styleId="a6">
    <w:name w:val="header"/>
    <w:basedOn w:val="a"/>
    <w:link w:val="a7"/>
    <w:uiPriority w:val="99"/>
    <w:unhideWhenUsed/>
    <w:rsid w:val="008D5618"/>
    <w:pPr>
      <w:tabs>
        <w:tab w:val="center" w:pos="4252"/>
        <w:tab w:val="right" w:pos="8504"/>
      </w:tabs>
      <w:snapToGrid w:val="0"/>
    </w:pPr>
  </w:style>
  <w:style w:type="character" w:customStyle="1" w:styleId="a7">
    <w:name w:val="ヘッダー (文字)"/>
    <w:basedOn w:val="a0"/>
    <w:link w:val="a6"/>
    <w:uiPriority w:val="99"/>
    <w:rsid w:val="008D5618"/>
  </w:style>
  <w:style w:type="paragraph" w:styleId="a8">
    <w:name w:val="footer"/>
    <w:basedOn w:val="a"/>
    <w:link w:val="a9"/>
    <w:uiPriority w:val="99"/>
    <w:unhideWhenUsed/>
    <w:rsid w:val="008D5618"/>
    <w:pPr>
      <w:tabs>
        <w:tab w:val="center" w:pos="4252"/>
        <w:tab w:val="right" w:pos="8504"/>
      </w:tabs>
      <w:snapToGrid w:val="0"/>
    </w:pPr>
  </w:style>
  <w:style w:type="character" w:customStyle="1" w:styleId="a9">
    <w:name w:val="フッター (文字)"/>
    <w:basedOn w:val="a0"/>
    <w:link w:val="a8"/>
    <w:uiPriority w:val="99"/>
    <w:rsid w:val="008D5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299</Words>
  <Characters>1705</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2024-11-11T06:43:00Z</cp:lastPrinted>
  <dcterms:created xsi:type="dcterms:W3CDTF">2024-11-11T05:17:00Z</dcterms:created>
  <dcterms:modified xsi:type="dcterms:W3CDTF">2025-02-19T00:24:00Z</dcterms:modified>
</cp:coreProperties>
</file>